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6" w:rsidRDefault="00396156" w:rsidP="00396156">
      <w:pPr>
        <w:shd w:val="clear" w:color="auto" w:fill="FFFFFF"/>
        <w:ind w:left="720"/>
        <w:rPr>
          <w:rStyle w:val="Hyperlink"/>
          <w:bCs/>
        </w:rPr>
      </w:pPr>
      <w:r>
        <w:rPr>
          <w:b/>
          <w:bCs/>
        </w:rPr>
        <w:t xml:space="preserve">Article ___: </w:t>
      </w:r>
      <w:r>
        <w:rPr>
          <w:bCs/>
        </w:rPr>
        <w:t xml:space="preserve">To see if the Town will vote to amend the Code of the Town of Harwich – Zoning by amending §325-42.L by making the following changing (new text shown in </w:t>
      </w:r>
      <w:r w:rsidRPr="00396156">
        <w:rPr>
          <w:b/>
          <w:bCs/>
          <w:u w:val="single"/>
        </w:rPr>
        <w:t xml:space="preserve">bold </w:t>
      </w:r>
      <w:r>
        <w:rPr>
          <w:b/>
          <w:bCs/>
          <w:u w:val="single"/>
        </w:rPr>
        <w:t>underline</w:t>
      </w:r>
      <w:r>
        <w:rPr>
          <w:bCs/>
        </w:rPr>
        <w:t xml:space="preserve"> and deleted language shown in </w:t>
      </w:r>
      <w:r w:rsidRPr="00396156">
        <w:rPr>
          <w:bCs/>
          <w:strike/>
        </w:rPr>
        <w:t>strike-out</w:t>
      </w:r>
      <w:r>
        <w:rPr>
          <w:bCs/>
        </w:rPr>
        <w:t xml:space="preserve">): </w:t>
      </w:r>
    </w:p>
    <w:p w:rsidR="00396156" w:rsidRDefault="00396156" w:rsidP="00396156"/>
    <w:p w:rsidR="00396156" w:rsidRDefault="00396156" w:rsidP="00396156"/>
    <w:p w:rsidR="00396156" w:rsidRDefault="00396156" w:rsidP="00396156">
      <w:pPr>
        <w:ind w:left="720"/>
      </w:pPr>
      <w:r w:rsidRPr="00396156">
        <w:t>Parking and loading zone setbacks for all uses except single-family, two-family and single-family with accessory apartment shall be as follows. For commercial structures, wheel stops for parking spaces perpendicular to or at an angle to a structure shall be located so as to provide a clear area of three feet between the end of a vehicle parked in the space and the nearest structure.</w:t>
      </w:r>
    </w:p>
    <w:tbl>
      <w:tblPr>
        <w:tblpPr w:leftFromText="180" w:rightFromText="180" w:vertAnchor="text" w:horzAnchor="margin" w:tblpX="720" w:tblpY="86"/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847"/>
        <w:gridCol w:w="1260"/>
        <w:gridCol w:w="2408"/>
      </w:tblGrid>
      <w:tr w:rsidR="00A226A1" w:rsidRPr="00396156" w:rsidTr="00A226A1">
        <w:trPr>
          <w:tblHeader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26A1" w:rsidRPr="00396156" w:rsidRDefault="00A226A1" w:rsidP="00A226A1">
            <w:pPr>
              <w:ind w:left="720"/>
              <w:jc w:val="center"/>
            </w:pPr>
            <w:r w:rsidRPr="00396156">
              <w:rPr>
                <w:b/>
                <w:bCs/>
              </w:rPr>
              <w:t>Parking Setbacks</w:t>
            </w:r>
            <w:r w:rsidRPr="00396156">
              <w:rPr>
                <w:vertAlign w:val="superscript"/>
              </w:rPr>
              <w:t>1</w:t>
            </w:r>
          </w:p>
          <w:p w:rsidR="00A226A1" w:rsidRPr="00396156" w:rsidRDefault="00A226A1" w:rsidP="00A226A1">
            <w:pPr>
              <w:ind w:left="720"/>
              <w:jc w:val="center"/>
            </w:pPr>
            <w:r w:rsidRPr="00396156">
              <w:rPr>
                <w:b/>
                <w:bCs/>
              </w:rPr>
              <w:t>(feet)</w:t>
            </w:r>
          </w:p>
        </w:tc>
      </w:tr>
      <w:tr w:rsidR="00A226A1" w:rsidRPr="00396156" w:rsidTr="00A226A1">
        <w:trPr>
          <w:tblHeader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26A1" w:rsidRPr="00396156" w:rsidRDefault="00A226A1" w:rsidP="00A226A1">
            <w:pPr>
              <w:ind w:left="210"/>
            </w:pPr>
            <w:r w:rsidRPr="00396156">
              <w:rPr>
                <w:b/>
                <w:bCs/>
              </w:rPr>
              <w:t>Zone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26A1" w:rsidRPr="00396156" w:rsidRDefault="00A226A1" w:rsidP="00A226A1">
            <w:pPr>
              <w:ind w:left="66"/>
              <w:jc w:val="center"/>
            </w:pPr>
            <w:r w:rsidRPr="00396156">
              <w:rPr>
                <w:b/>
                <w:bCs/>
              </w:rPr>
              <w:t>Street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26A1" w:rsidRPr="00396156" w:rsidRDefault="00A226A1" w:rsidP="00A226A1">
            <w:pPr>
              <w:ind w:left="172"/>
              <w:jc w:val="center"/>
            </w:pPr>
            <w:r w:rsidRPr="00396156">
              <w:rPr>
                <w:b/>
                <w:bCs/>
              </w:rPr>
              <w:t>Side Line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226A1" w:rsidRPr="00396156" w:rsidRDefault="00A226A1" w:rsidP="00A226A1">
            <w:pPr>
              <w:ind w:left="47"/>
              <w:jc w:val="center"/>
            </w:pPr>
            <w:r w:rsidRPr="00396156">
              <w:rPr>
                <w:b/>
                <w:bCs/>
              </w:rPr>
              <w:t>Rear</w:t>
            </w:r>
          </w:p>
        </w:tc>
      </w:tr>
      <w:tr w:rsidR="00A226A1" w:rsidRPr="00396156" w:rsidTr="00A226A1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210"/>
            </w:pPr>
            <w:r w:rsidRPr="00396156">
              <w:t>RR, RM, RL, RH-1, RH-2 and RH-3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66"/>
              <w:jc w:val="center"/>
            </w:pPr>
            <w:r w:rsidRPr="00396156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172"/>
              <w:jc w:val="center"/>
            </w:pPr>
            <w:r w:rsidRPr="00396156"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47"/>
              <w:jc w:val="center"/>
            </w:pPr>
            <w:r w:rsidRPr="00396156">
              <w:t>10</w:t>
            </w:r>
          </w:p>
        </w:tc>
      </w:tr>
      <w:tr w:rsidR="00A226A1" w:rsidRPr="00396156" w:rsidTr="00A226A1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210"/>
            </w:pPr>
            <w:r w:rsidRPr="00396156">
              <w:t>CV, CH-1 and CH-2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66"/>
              <w:jc w:val="center"/>
            </w:pPr>
            <w:r w:rsidRPr="00396156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172"/>
              <w:jc w:val="center"/>
            </w:pPr>
            <w:r w:rsidRPr="00396156"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47"/>
              <w:jc w:val="center"/>
            </w:pPr>
            <w:r w:rsidRPr="00396156">
              <w:t>10</w:t>
            </w:r>
          </w:p>
        </w:tc>
      </w:tr>
      <w:tr w:rsidR="00A226A1" w:rsidRPr="00396156" w:rsidTr="00A226A1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210"/>
            </w:pPr>
            <w:r w:rsidRPr="00396156"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66"/>
              <w:jc w:val="center"/>
            </w:pPr>
            <w:r w:rsidRPr="00396156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172"/>
              <w:jc w:val="center"/>
            </w:pPr>
            <w:r w:rsidRPr="00396156"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47"/>
              <w:jc w:val="center"/>
            </w:pPr>
            <w:r w:rsidRPr="00396156">
              <w:t>5</w:t>
            </w:r>
          </w:p>
        </w:tc>
      </w:tr>
      <w:tr w:rsidR="00A226A1" w:rsidRPr="00396156" w:rsidTr="00A226A1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210"/>
            </w:pPr>
            <w:r w:rsidRPr="00396156">
              <w:t>MRL and MRL-1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Default="00A226A1" w:rsidP="00A226A1">
            <w:pPr>
              <w:ind w:left="66"/>
              <w:jc w:val="center"/>
              <w:rPr>
                <w:strike/>
              </w:rPr>
            </w:pPr>
            <w:r w:rsidRPr="00A226A1">
              <w:rPr>
                <w:strike/>
              </w:rPr>
              <w:t>50</w:t>
            </w:r>
          </w:p>
          <w:p w:rsidR="00A226A1" w:rsidRPr="00A226A1" w:rsidRDefault="00A226A1" w:rsidP="00A226A1">
            <w:pPr>
              <w:ind w:left="66"/>
              <w:jc w:val="center"/>
              <w:rPr>
                <w:b/>
                <w:u w:val="single"/>
              </w:rPr>
            </w:pPr>
            <w:r w:rsidRPr="00A226A1">
              <w:rPr>
                <w:b/>
                <w:u w:val="single"/>
              </w:rPr>
              <w:t>Note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A226A1" w:rsidRDefault="00A226A1" w:rsidP="00A226A1">
            <w:pPr>
              <w:ind w:left="172"/>
              <w:jc w:val="center"/>
              <w:rPr>
                <w:strike/>
              </w:rPr>
            </w:pPr>
            <w:r w:rsidRPr="00A226A1">
              <w:rPr>
                <w:strike/>
              </w:rPr>
              <w:t xml:space="preserve">50 </w:t>
            </w:r>
          </w:p>
          <w:p w:rsidR="00A226A1" w:rsidRPr="00A226A1" w:rsidRDefault="00A226A1" w:rsidP="00A226A1">
            <w:pPr>
              <w:ind w:left="172"/>
              <w:jc w:val="center"/>
            </w:pPr>
            <w:r w:rsidRPr="00A226A1">
              <w:rPr>
                <w:b/>
                <w:u w:val="single"/>
              </w:rPr>
              <w:t>Note 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A226A1" w:rsidRDefault="00A226A1" w:rsidP="00A226A1">
            <w:pPr>
              <w:ind w:left="47"/>
              <w:jc w:val="center"/>
              <w:rPr>
                <w:strike/>
              </w:rPr>
            </w:pPr>
            <w:r w:rsidRPr="00A226A1">
              <w:rPr>
                <w:strike/>
              </w:rPr>
              <w:t>50</w:t>
            </w:r>
            <w:r>
              <w:t xml:space="preserve"> </w:t>
            </w:r>
          </w:p>
          <w:p w:rsidR="00A226A1" w:rsidRPr="00A226A1" w:rsidRDefault="00A226A1" w:rsidP="00A226A1">
            <w:pPr>
              <w:ind w:left="47"/>
              <w:jc w:val="center"/>
              <w:rPr>
                <w:b/>
                <w:u w:val="single"/>
              </w:rPr>
            </w:pPr>
            <w:r w:rsidRPr="00A226A1">
              <w:rPr>
                <w:b/>
                <w:u w:val="single"/>
              </w:rPr>
              <w:t>Note 2</w:t>
            </w:r>
          </w:p>
        </w:tc>
      </w:tr>
      <w:tr w:rsidR="00A226A1" w:rsidRPr="00396156" w:rsidTr="00A226A1">
        <w:trPr>
          <w:tblHeader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396156" w:rsidRDefault="00A226A1" w:rsidP="00A226A1">
            <w:pPr>
              <w:ind w:left="210"/>
            </w:pPr>
            <w:r w:rsidRPr="00396156">
              <w:rPr>
                <w:b/>
                <w:bCs/>
              </w:rPr>
              <w:t>Notes:</w:t>
            </w:r>
          </w:p>
        </w:tc>
      </w:tr>
      <w:tr w:rsidR="00A226A1" w:rsidRPr="00396156" w:rsidTr="00A226A1"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60" w:type="dxa"/>
              <w:right w:w="60" w:type="dxa"/>
            </w:tcMar>
            <w:hideMark/>
          </w:tcPr>
          <w:p w:rsidR="00A226A1" w:rsidRPr="00A226A1" w:rsidRDefault="00A226A1" w:rsidP="00A226A1">
            <w:pPr>
              <w:ind w:left="210"/>
              <w:rPr>
                <w:sz w:val="20"/>
                <w:szCs w:val="20"/>
              </w:rPr>
            </w:pPr>
            <w:r w:rsidRPr="00A226A1">
              <w:rPr>
                <w:sz w:val="20"/>
                <w:szCs w:val="20"/>
                <w:vertAlign w:val="superscript"/>
              </w:rPr>
              <w:t xml:space="preserve">1 </w:t>
            </w:r>
            <w:r w:rsidRPr="00A226A1">
              <w:rPr>
                <w:sz w:val="20"/>
                <w:szCs w:val="20"/>
              </w:rPr>
              <w:t>No parking area containing more than four spaces or loading area shall be located within a required front yard, except that those buildings utilizing the provisions of §</w:t>
            </w:r>
            <w:r w:rsidRPr="00DB1C10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325-51L</w:t>
            </w:r>
            <w:r w:rsidRPr="00DB1C10">
              <w:rPr>
                <w:sz w:val="20"/>
                <w:szCs w:val="20"/>
              </w:rPr>
              <w:t> </w:t>
            </w:r>
            <w:r w:rsidRPr="00A226A1">
              <w:rPr>
                <w:sz w:val="20"/>
                <w:szCs w:val="20"/>
              </w:rPr>
              <w:t>(Village Commercial Overlay District) shall not locate any parking within the front yard.</w:t>
            </w:r>
          </w:p>
          <w:p w:rsidR="00A226A1" w:rsidRPr="00A226A1" w:rsidRDefault="00A226A1" w:rsidP="00A226A1">
            <w:pPr>
              <w:ind w:left="210"/>
              <w:rPr>
                <w:b/>
                <w:sz w:val="20"/>
                <w:szCs w:val="20"/>
                <w:u w:val="single"/>
              </w:rPr>
            </w:pPr>
            <w:r w:rsidRPr="00A226A1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A226A1">
              <w:rPr>
                <w:b/>
                <w:sz w:val="20"/>
                <w:szCs w:val="20"/>
                <w:u w:val="single"/>
              </w:rPr>
              <w:t>(1) On already improved properties, the setbacks for parking shall be established at the time of the site plan review.</w:t>
            </w:r>
          </w:p>
          <w:p w:rsidR="00A226A1" w:rsidRPr="00A226A1" w:rsidRDefault="00A226A1" w:rsidP="00BB6C97">
            <w:pPr>
              <w:ind w:left="210"/>
              <w:rPr>
                <w:b/>
                <w:u w:val="single"/>
              </w:rPr>
            </w:pPr>
            <w:r w:rsidRPr="00A226A1">
              <w:rPr>
                <w:b/>
                <w:sz w:val="20"/>
                <w:szCs w:val="20"/>
                <w:u w:val="single"/>
              </w:rPr>
              <w:t xml:space="preserve">(2) </w:t>
            </w:r>
            <w:r w:rsidR="00DB1C10">
              <w:rPr>
                <w:b/>
                <w:sz w:val="20"/>
                <w:szCs w:val="20"/>
                <w:u w:val="single"/>
              </w:rPr>
              <w:t>F</w:t>
            </w:r>
            <w:r w:rsidRPr="00A226A1">
              <w:rPr>
                <w:b/>
                <w:sz w:val="20"/>
                <w:szCs w:val="20"/>
                <w:u w:val="single"/>
              </w:rPr>
              <w:t>or vacant lands to be developed for any purpose (other than single-family, two-family and single-family with accessory apartment) the minimum setbacks for parking shall be 2</w:t>
            </w:r>
            <w:r w:rsidR="0038614D">
              <w:rPr>
                <w:b/>
                <w:sz w:val="20"/>
                <w:szCs w:val="20"/>
                <w:u w:val="single"/>
              </w:rPr>
              <w:t>5</w:t>
            </w:r>
            <w:r w:rsidRPr="00A226A1">
              <w:rPr>
                <w:b/>
                <w:sz w:val="20"/>
                <w:szCs w:val="20"/>
                <w:u w:val="single"/>
              </w:rPr>
              <w:t xml:space="preserve"> feet from the street and </w:t>
            </w:r>
            <w:r w:rsidR="0038614D">
              <w:rPr>
                <w:b/>
                <w:sz w:val="20"/>
                <w:szCs w:val="20"/>
                <w:u w:val="single"/>
              </w:rPr>
              <w:t>rear</w:t>
            </w:r>
            <w:r w:rsidR="00BB6C97">
              <w:rPr>
                <w:b/>
                <w:sz w:val="20"/>
                <w:szCs w:val="20"/>
                <w:u w:val="single"/>
              </w:rPr>
              <w:t xml:space="preserve"> property line</w:t>
            </w:r>
            <w:bookmarkStart w:id="0" w:name="_GoBack"/>
            <w:bookmarkEnd w:id="0"/>
            <w:r w:rsidR="0038614D">
              <w:rPr>
                <w:b/>
                <w:sz w:val="20"/>
                <w:szCs w:val="20"/>
                <w:u w:val="single"/>
              </w:rPr>
              <w:t xml:space="preserve"> and 2</w:t>
            </w:r>
            <w:r w:rsidRPr="00A226A1">
              <w:rPr>
                <w:b/>
                <w:sz w:val="20"/>
                <w:szCs w:val="20"/>
                <w:u w:val="single"/>
              </w:rPr>
              <w:t xml:space="preserve">0 feet from the side </w:t>
            </w:r>
            <w:r w:rsidR="00BB6C97">
              <w:rPr>
                <w:b/>
                <w:sz w:val="20"/>
                <w:szCs w:val="20"/>
                <w:u w:val="single"/>
              </w:rPr>
              <w:t>property line</w:t>
            </w:r>
            <w:r w:rsidRPr="00A226A1">
              <w:rPr>
                <w:b/>
                <w:sz w:val="20"/>
                <w:szCs w:val="20"/>
                <w:u w:val="single"/>
              </w:rPr>
              <w:t>.</w:t>
            </w:r>
          </w:p>
        </w:tc>
      </w:tr>
    </w:tbl>
    <w:p w:rsidR="00396156" w:rsidRPr="00396156" w:rsidRDefault="00396156" w:rsidP="00396156">
      <w:pPr>
        <w:ind w:left="720"/>
      </w:pPr>
    </w:p>
    <w:p w:rsidR="009F0235" w:rsidRDefault="009F0235"/>
    <w:p w:rsidR="00DB1C10" w:rsidRDefault="00DB1C10"/>
    <w:p w:rsidR="00DB1C10" w:rsidRDefault="00DB1C10">
      <w:r w:rsidRPr="00DB1C10">
        <w:rPr>
          <w:b/>
        </w:rPr>
        <w:t>Explanation:</w:t>
      </w:r>
      <w:r>
        <w:t xml:space="preserve"> </w:t>
      </w:r>
      <w:r w:rsidRPr="00DB1C10">
        <w:rPr>
          <w:i/>
        </w:rPr>
        <w:t>These changes would allow for creativity and flexibility for parking within the MRL and MRL-1 zoning district, particularly for already improved properties.</w:t>
      </w:r>
      <w:r>
        <w:t xml:space="preserve"> </w:t>
      </w:r>
    </w:p>
    <w:sectPr w:rsidR="00DB1C10" w:rsidSect="00A22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9C" w:rsidRDefault="001A349C" w:rsidP="001A349C">
      <w:r>
        <w:separator/>
      </w:r>
    </w:p>
  </w:endnote>
  <w:endnote w:type="continuationSeparator" w:id="0">
    <w:p w:rsidR="001A349C" w:rsidRDefault="001A349C" w:rsidP="001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4D" w:rsidRDefault="00386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9C" w:rsidRPr="0038614D" w:rsidRDefault="001A349C" w:rsidP="00386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4D" w:rsidRDefault="0038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9C" w:rsidRDefault="001A349C" w:rsidP="001A349C">
      <w:r>
        <w:separator/>
      </w:r>
    </w:p>
  </w:footnote>
  <w:footnote w:type="continuationSeparator" w:id="0">
    <w:p w:rsidR="001A349C" w:rsidRDefault="001A349C" w:rsidP="001A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4D" w:rsidRDefault="00386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4D" w:rsidRDefault="00386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4D" w:rsidRDefault="00386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6"/>
    <w:rsid w:val="001A349C"/>
    <w:rsid w:val="0038614D"/>
    <w:rsid w:val="00396156"/>
    <w:rsid w:val="003E629C"/>
    <w:rsid w:val="006C0978"/>
    <w:rsid w:val="009F0235"/>
    <w:rsid w:val="00A226A1"/>
    <w:rsid w:val="00B5418C"/>
    <w:rsid w:val="00BB6C97"/>
    <w:rsid w:val="00DB1C10"/>
    <w:rsid w:val="00E910D5"/>
    <w:rsid w:val="00F51779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E781-8BD3-4270-BA22-C0E30CCE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3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Charleen Greenhalgh</cp:lastModifiedBy>
  <cp:revision>3</cp:revision>
  <cp:lastPrinted>2021-02-01T20:04:00Z</cp:lastPrinted>
  <dcterms:created xsi:type="dcterms:W3CDTF">2021-02-24T14:05:00Z</dcterms:created>
  <dcterms:modified xsi:type="dcterms:W3CDTF">2021-02-24T17:56:00Z</dcterms:modified>
</cp:coreProperties>
</file>