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B7" w:rsidRDefault="002E26F9" w:rsidP="002E26F9">
      <w:pPr>
        <w:spacing w:after="0" w:line="240" w:lineRule="auto"/>
        <w:jc w:val="center"/>
        <w:rPr>
          <w:u w:val="single"/>
        </w:rPr>
      </w:pPr>
      <w:bookmarkStart w:id="0" w:name="_GoBack"/>
      <w:bookmarkEnd w:id="0"/>
      <w:r>
        <w:rPr>
          <w:u w:val="single"/>
        </w:rPr>
        <w:t>VARIOUS ZONING BY-LAW AMENDMENTS</w:t>
      </w:r>
    </w:p>
    <w:p w:rsidR="002E26F9" w:rsidRDefault="002E26F9" w:rsidP="002E26F9">
      <w:pPr>
        <w:spacing w:after="0" w:line="240" w:lineRule="auto"/>
        <w:jc w:val="center"/>
        <w:rPr>
          <w:u w:val="single"/>
        </w:rPr>
      </w:pPr>
    </w:p>
    <w:p w:rsidR="002E26F9" w:rsidRDefault="002E26F9" w:rsidP="002E26F9">
      <w:pPr>
        <w:spacing w:after="0" w:line="240" w:lineRule="auto"/>
      </w:pPr>
      <w:r>
        <w:rPr>
          <w:u w:val="single"/>
        </w:rPr>
        <w:t xml:space="preserve">ARTICLE </w:t>
      </w:r>
      <w:r w:rsidR="000722EE">
        <w:rPr>
          <w:u w:val="single"/>
        </w:rPr>
        <w:t>47</w:t>
      </w:r>
      <w:r>
        <w:tab/>
        <w:t xml:space="preserve">To see if the Town will vote to amend the Code of the Town of Harwich, Chapter 325 Zoning </w:t>
      </w:r>
      <w:r w:rsidR="00596BB4">
        <w:t xml:space="preserve">by </w:t>
      </w:r>
      <w:r w:rsidR="00223A35">
        <w:t xml:space="preserve">striking out language and by </w:t>
      </w:r>
      <w:r w:rsidR="00596BB4">
        <w:t xml:space="preserve">adding bold and underlined language </w:t>
      </w:r>
      <w:r>
        <w:t>as set forth below and to act fully thereon.  By request of the Building Commissioner and Planning Board.</w:t>
      </w:r>
    </w:p>
    <w:p w:rsidR="002E26F9" w:rsidRDefault="002E26F9" w:rsidP="002E26F9">
      <w:pPr>
        <w:spacing w:after="0" w:line="240" w:lineRule="auto"/>
      </w:pPr>
    </w:p>
    <w:p w:rsidR="005E2F61" w:rsidRPr="00F312B7" w:rsidRDefault="003E11B9" w:rsidP="005E2F61">
      <w:pPr>
        <w:spacing w:after="0" w:line="240" w:lineRule="auto"/>
        <w:rPr>
          <w:u w:val="single"/>
        </w:rPr>
      </w:pPr>
      <w:r w:rsidRPr="003E11B9">
        <w:t>(</w:t>
      </w:r>
      <w:r w:rsidR="00AE056D">
        <w:t>A</w:t>
      </w:r>
      <w:r w:rsidRPr="003E11B9">
        <w:t xml:space="preserve">) </w:t>
      </w:r>
      <w:r w:rsidR="005E2F61" w:rsidRPr="00F312B7">
        <w:rPr>
          <w:u w:val="single"/>
        </w:rPr>
        <w:t>CONSTRUCTION SIGNS</w:t>
      </w:r>
    </w:p>
    <w:p w:rsidR="005E2F61" w:rsidRDefault="005E2F61" w:rsidP="005E2F61">
      <w:pPr>
        <w:spacing w:after="0" w:line="240" w:lineRule="auto"/>
      </w:pPr>
    </w:p>
    <w:p w:rsidR="005E2F61" w:rsidRDefault="005E2F61" w:rsidP="005E2F61">
      <w:pPr>
        <w:spacing w:after="0" w:line="240" w:lineRule="auto"/>
      </w:pPr>
      <w:r>
        <w:t>325-</w:t>
      </w:r>
      <w:proofErr w:type="gramStart"/>
      <w:r>
        <w:t>29  Additional</w:t>
      </w:r>
      <w:proofErr w:type="gramEnd"/>
      <w:r>
        <w:t xml:space="preserve"> requirements for specific signage.</w:t>
      </w:r>
    </w:p>
    <w:p w:rsidR="005E2F61" w:rsidRDefault="005E2F61" w:rsidP="005E2F61">
      <w:pPr>
        <w:spacing w:after="0" w:line="240" w:lineRule="auto"/>
      </w:pPr>
    </w:p>
    <w:p w:rsidR="005E2F61" w:rsidRPr="005E2F61" w:rsidRDefault="005E2F61" w:rsidP="005E2F61">
      <w:pPr>
        <w:spacing w:after="0" w:line="240" w:lineRule="auto"/>
        <w:rPr>
          <w:i/>
          <w:u w:val="single"/>
        </w:rPr>
      </w:pPr>
      <w:proofErr w:type="gramStart"/>
      <w:r w:rsidRPr="00596BB4">
        <w:rPr>
          <w:b/>
          <w:u w:val="single"/>
        </w:rPr>
        <w:t>G.</w:t>
      </w:r>
      <w:r>
        <w:t xml:space="preserve">  </w:t>
      </w:r>
      <w:r>
        <w:rPr>
          <w:i/>
        </w:rPr>
        <w:t>[</w:t>
      </w:r>
      <w:proofErr w:type="gramEnd"/>
      <w:r>
        <w:rPr>
          <w:i/>
        </w:rPr>
        <w:t xml:space="preserve">NEW]  </w:t>
      </w:r>
      <w:r w:rsidRPr="00596BB4">
        <w:rPr>
          <w:b/>
          <w:u w:val="single"/>
        </w:rPr>
        <w:t xml:space="preserve">Construction Signs.  One (1) temporary wall or ground sign not more than eight (8) square feet </w:t>
      </w:r>
      <w:r w:rsidR="00C527F9">
        <w:rPr>
          <w:b/>
          <w:u w:val="single"/>
        </w:rPr>
        <w:t>indicat</w:t>
      </w:r>
      <w:r w:rsidRPr="00596BB4">
        <w:rPr>
          <w:b/>
          <w:u w:val="single"/>
        </w:rPr>
        <w:t>ing the construction, remodeling or rebuilding of a certain structure for a permitted use shall be allowed on the parcel on which the structure is located</w:t>
      </w:r>
      <w:r w:rsidR="000722EE">
        <w:rPr>
          <w:b/>
          <w:u w:val="single"/>
        </w:rPr>
        <w:t xml:space="preserve"> with written permission of the property owner</w:t>
      </w:r>
      <w:r w:rsidRPr="00596BB4">
        <w:rPr>
          <w:b/>
          <w:u w:val="single"/>
        </w:rPr>
        <w:t>.  The sign shall not be illuminated and shall be removed immediately upon final inspection.</w:t>
      </w:r>
    </w:p>
    <w:p w:rsidR="005E2F61" w:rsidRDefault="005E2F61" w:rsidP="001C4BEF">
      <w:pPr>
        <w:spacing w:after="0" w:line="240" w:lineRule="auto"/>
      </w:pPr>
    </w:p>
    <w:p w:rsidR="005E2F61" w:rsidRDefault="00AE056D" w:rsidP="001C4BEF">
      <w:pPr>
        <w:spacing w:after="0" w:line="240" w:lineRule="auto"/>
      </w:pPr>
      <w:r>
        <w:t>(B</w:t>
      </w:r>
      <w:r w:rsidR="003E11B9">
        <w:t xml:space="preserve">) </w:t>
      </w:r>
      <w:r w:rsidR="005E2F61">
        <w:rPr>
          <w:u w:val="single"/>
        </w:rPr>
        <w:t>TWO-FAMILY DWELLINGS</w:t>
      </w:r>
      <w:r w:rsidR="0035560D">
        <w:rPr>
          <w:u w:val="single"/>
        </w:rPr>
        <w:t xml:space="preserve"> IN THE CH-1 DISTRICT</w:t>
      </w:r>
    </w:p>
    <w:p w:rsidR="005E2F61" w:rsidRDefault="005E2F61" w:rsidP="001C4BEF">
      <w:pPr>
        <w:spacing w:after="0" w:line="240" w:lineRule="auto"/>
      </w:pPr>
    </w:p>
    <w:p w:rsidR="005E2F61" w:rsidRDefault="005E2F61" w:rsidP="001C4BEF">
      <w:pPr>
        <w:spacing w:after="0" w:line="240" w:lineRule="auto"/>
      </w:pPr>
      <w:r>
        <w:t xml:space="preserve">325-7 C.  Existing lots in a CH-1 District which complied at the time of layout with applicable provisions of zoning bylaws, if any, may be used for single-family residential purposes as set forth above and may be used for </w:t>
      </w:r>
      <w:r>
        <w:rPr>
          <w:i/>
        </w:rPr>
        <w:t xml:space="preserve">[NEW] </w:t>
      </w:r>
      <w:r w:rsidRPr="00596BB4">
        <w:rPr>
          <w:b/>
          <w:u w:val="single"/>
        </w:rPr>
        <w:t>two-family residential purposes and</w:t>
      </w:r>
      <w:r>
        <w:rPr>
          <w:i/>
        </w:rPr>
        <w:t xml:space="preserve"> </w:t>
      </w:r>
      <w:r>
        <w:t>nonresidential purposes as established in the Table of Use Regulations provided that:</w:t>
      </w:r>
    </w:p>
    <w:p w:rsidR="005E2F61" w:rsidRDefault="005E2F61" w:rsidP="005E2F61">
      <w:pPr>
        <w:pStyle w:val="ListParagraph"/>
        <w:numPr>
          <w:ilvl w:val="0"/>
          <w:numId w:val="1"/>
        </w:numPr>
        <w:spacing w:after="0" w:line="240" w:lineRule="auto"/>
      </w:pPr>
      <w:r>
        <w:t>Said lots have 100 feet of frontage and 10,000 square feet of area;</w:t>
      </w:r>
    </w:p>
    <w:p w:rsidR="005E2F61" w:rsidRDefault="00162FD9" w:rsidP="005E2F61">
      <w:pPr>
        <w:pStyle w:val="ListParagraph"/>
        <w:numPr>
          <w:ilvl w:val="0"/>
          <w:numId w:val="1"/>
        </w:numPr>
        <w:spacing w:after="0" w:line="240" w:lineRule="auto"/>
      </w:pPr>
      <w:r>
        <w:t xml:space="preserve">The buildings to be located thereon are set back at least 10 feet from side and rear lot lines and at least 25 feet from street lot lines and the buildings to be constructed on said lot will not exceed </w:t>
      </w:r>
      <w:r>
        <w:lastRenderedPageBreak/>
        <w:t>the maximum site coverage restrictions of the zoning bylaw in effect when the lot was created or, if no such r</w:t>
      </w:r>
      <w:r w:rsidR="00C903A2">
        <w:t>estri</w:t>
      </w:r>
      <w:r>
        <w:t>ctions applied, coverage of buildings shall not exceed 35% of said lot for lots between 10,000 square feet and 15,000 square feet and 25% for lots over 15,000 square feet;</w:t>
      </w:r>
    </w:p>
    <w:p w:rsidR="00162FD9" w:rsidRDefault="00162FD9" w:rsidP="005E2F61">
      <w:pPr>
        <w:pStyle w:val="ListParagraph"/>
        <w:numPr>
          <w:ilvl w:val="0"/>
          <w:numId w:val="1"/>
        </w:numPr>
        <w:spacing w:after="0" w:line="240" w:lineRule="auto"/>
      </w:pPr>
      <w:r>
        <w:t>Said lots are buildable under other applicable provisions of the lot …</w:t>
      </w:r>
    </w:p>
    <w:p w:rsidR="005E2F61" w:rsidRDefault="005E2F61" w:rsidP="005E2F61">
      <w:pPr>
        <w:spacing w:after="0" w:line="240" w:lineRule="auto"/>
      </w:pPr>
    </w:p>
    <w:p w:rsidR="005E2F61" w:rsidRDefault="0035560D" w:rsidP="005E2F61">
      <w:pPr>
        <w:spacing w:after="0" w:line="240" w:lineRule="auto"/>
      </w:pPr>
      <w:r>
        <w:t xml:space="preserve">Table </w:t>
      </w:r>
      <w:proofErr w:type="gramStart"/>
      <w:r>
        <w:t>2  Area</w:t>
      </w:r>
      <w:proofErr w:type="gramEnd"/>
      <w:r>
        <w:t xml:space="preserve"> Regulations</w:t>
      </w:r>
    </w:p>
    <w:p w:rsidR="0035560D" w:rsidRDefault="0035560D" w:rsidP="005E2F61">
      <w:pPr>
        <w:spacing w:after="0" w:line="240" w:lineRule="auto"/>
      </w:pPr>
    </w:p>
    <w:tbl>
      <w:tblPr>
        <w:tblStyle w:val="TableGrid"/>
        <w:tblW w:w="0" w:type="auto"/>
        <w:tblLook w:val="04A0" w:firstRow="1" w:lastRow="0" w:firstColumn="1" w:lastColumn="0" w:noHBand="0" w:noVBand="1"/>
      </w:tblPr>
      <w:tblGrid>
        <w:gridCol w:w="1615"/>
        <w:gridCol w:w="2970"/>
        <w:gridCol w:w="1080"/>
        <w:gridCol w:w="1369"/>
        <w:gridCol w:w="802"/>
        <w:gridCol w:w="750"/>
        <w:gridCol w:w="764"/>
      </w:tblGrid>
      <w:tr w:rsidR="0035560D" w:rsidTr="00596BB4">
        <w:tc>
          <w:tcPr>
            <w:tcW w:w="1615" w:type="dxa"/>
          </w:tcPr>
          <w:p w:rsidR="0035560D" w:rsidRDefault="0035560D" w:rsidP="0035560D">
            <w:pPr>
              <w:jc w:val="center"/>
            </w:pPr>
            <w:r>
              <w:t>District</w:t>
            </w:r>
          </w:p>
        </w:tc>
        <w:tc>
          <w:tcPr>
            <w:tcW w:w="2970" w:type="dxa"/>
          </w:tcPr>
          <w:p w:rsidR="0035560D" w:rsidRDefault="0035560D" w:rsidP="0035560D">
            <w:pPr>
              <w:jc w:val="center"/>
            </w:pPr>
            <w:r>
              <w:t>Use</w:t>
            </w:r>
          </w:p>
        </w:tc>
        <w:tc>
          <w:tcPr>
            <w:tcW w:w="1080" w:type="dxa"/>
          </w:tcPr>
          <w:p w:rsidR="0035560D" w:rsidRDefault="0035560D" w:rsidP="0035560D">
            <w:pPr>
              <w:jc w:val="center"/>
            </w:pPr>
            <w:r>
              <w:t>Lot Area</w:t>
            </w:r>
          </w:p>
        </w:tc>
        <w:tc>
          <w:tcPr>
            <w:tcW w:w="1369" w:type="dxa"/>
          </w:tcPr>
          <w:p w:rsidR="0035560D" w:rsidRDefault="0035560D" w:rsidP="0035560D">
            <w:pPr>
              <w:jc w:val="center"/>
            </w:pPr>
            <w:r>
              <w:t>Lot Frontage</w:t>
            </w:r>
          </w:p>
        </w:tc>
        <w:tc>
          <w:tcPr>
            <w:tcW w:w="802" w:type="dxa"/>
          </w:tcPr>
          <w:p w:rsidR="0035560D" w:rsidRDefault="0035560D" w:rsidP="0035560D">
            <w:pPr>
              <w:jc w:val="center"/>
            </w:pPr>
            <w:r>
              <w:t>Front</w:t>
            </w:r>
          </w:p>
        </w:tc>
        <w:tc>
          <w:tcPr>
            <w:tcW w:w="750" w:type="dxa"/>
          </w:tcPr>
          <w:p w:rsidR="0035560D" w:rsidRDefault="0035560D" w:rsidP="0035560D">
            <w:pPr>
              <w:jc w:val="center"/>
            </w:pPr>
            <w:r>
              <w:t>Side</w:t>
            </w:r>
          </w:p>
        </w:tc>
        <w:tc>
          <w:tcPr>
            <w:tcW w:w="764" w:type="dxa"/>
          </w:tcPr>
          <w:p w:rsidR="0035560D" w:rsidRDefault="0035560D" w:rsidP="0035560D">
            <w:pPr>
              <w:jc w:val="center"/>
            </w:pPr>
            <w:r>
              <w:t>Rear</w:t>
            </w:r>
          </w:p>
        </w:tc>
      </w:tr>
      <w:tr w:rsidR="0035560D" w:rsidTr="00596BB4">
        <w:tc>
          <w:tcPr>
            <w:tcW w:w="1615" w:type="dxa"/>
          </w:tcPr>
          <w:p w:rsidR="0035560D" w:rsidRDefault="0035560D" w:rsidP="0035560D">
            <w:pPr>
              <w:jc w:val="center"/>
            </w:pPr>
            <w:r>
              <w:t>CH-1</w:t>
            </w:r>
          </w:p>
        </w:tc>
        <w:tc>
          <w:tcPr>
            <w:tcW w:w="2970" w:type="dxa"/>
          </w:tcPr>
          <w:p w:rsidR="0035560D" w:rsidRDefault="0035560D" w:rsidP="005E2F61">
            <w:r>
              <w:t>Single-family dwelling</w:t>
            </w:r>
          </w:p>
        </w:tc>
        <w:tc>
          <w:tcPr>
            <w:tcW w:w="1080" w:type="dxa"/>
          </w:tcPr>
          <w:p w:rsidR="0035560D" w:rsidRDefault="0035560D" w:rsidP="0035560D">
            <w:pPr>
              <w:jc w:val="center"/>
            </w:pPr>
            <w:r>
              <w:t>40,000</w:t>
            </w:r>
          </w:p>
        </w:tc>
        <w:tc>
          <w:tcPr>
            <w:tcW w:w="1369" w:type="dxa"/>
          </w:tcPr>
          <w:p w:rsidR="0035560D" w:rsidRDefault="0035560D" w:rsidP="0035560D">
            <w:pPr>
              <w:jc w:val="center"/>
            </w:pPr>
            <w:r>
              <w:t>150</w:t>
            </w:r>
          </w:p>
        </w:tc>
        <w:tc>
          <w:tcPr>
            <w:tcW w:w="802" w:type="dxa"/>
          </w:tcPr>
          <w:p w:rsidR="0035560D" w:rsidRDefault="0035560D" w:rsidP="0035560D">
            <w:pPr>
              <w:jc w:val="center"/>
            </w:pPr>
            <w:r>
              <w:t>25</w:t>
            </w:r>
          </w:p>
        </w:tc>
        <w:tc>
          <w:tcPr>
            <w:tcW w:w="750" w:type="dxa"/>
          </w:tcPr>
          <w:p w:rsidR="0035560D" w:rsidRDefault="0035560D" w:rsidP="0035560D">
            <w:pPr>
              <w:jc w:val="center"/>
            </w:pPr>
            <w:r>
              <w:t>20</w:t>
            </w:r>
          </w:p>
        </w:tc>
        <w:tc>
          <w:tcPr>
            <w:tcW w:w="764" w:type="dxa"/>
          </w:tcPr>
          <w:p w:rsidR="0035560D" w:rsidRDefault="0035560D" w:rsidP="0035560D">
            <w:pPr>
              <w:jc w:val="center"/>
            </w:pPr>
            <w:r>
              <w:t>20</w:t>
            </w:r>
          </w:p>
        </w:tc>
      </w:tr>
      <w:tr w:rsidR="0035560D" w:rsidTr="00596BB4">
        <w:tc>
          <w:tcPr>
            <w:tcW w:w="1615" w:type="dxa"/>
          </w:tcPr>
          <w:p w:rsidR="0035560D" w:rsidRDefault="0035560D" w:rsidP="005E2F61">
            <w:pPr>
              <w:rPr>
                <w:i/>
              </w:rPr>
            </w:pPr>
          </w:p>
        </w:tc>
        <w:tc>
          <w:tcPr>
            <w:tcW w:w="2970" w:type="dxa"/>
          </w:tcPr>
          <w:p w:rsidR="0035560D" w:rsidRPr="00596BB4" w:rsidRDefault="0035560D" w:rsidP="005E2F61">
            <w:pPr>
              <w:rPr>
                <w:b/>
                <w:u w:val="single"/>
              </w:rPr>
            </w:pPr>
            <w:r w:rsidRPr="00596BB4">
              <w:rPr>
                <w:i/>
              </w:rPr>
              <w:t>[NEW]</w:t>
            </w:r>
            <w:r w:rsidRPr="00596BB4">
              <w:rPr>
                <w:b/>
                <w:u w:val="single"/>
              </w:rPr>
              <w:t xml:space="preserve"> Two-family dwelling</w:t>
            </w:r>
          </w:p>
        </w:tc>
        <w:tc>
          <w:tcPr>
            <w:tcW w:w="1080" w:type="dxa"/>
          </w:tcPr>
          <w:p w:rsidR="0035560D" w:rsidRPr="00596BB4" w:rsidRDefault="0035560D" w:rsidP="0035560D">
            <w:pPr>
              <w:jc w:val="center"/>
              <w:rPr>
                <w:b/>
                <w:u w:val="single"/>
              </w:rPr>
            </w:pPr>
            <w:r w:rsidRPr="00596BB4">
              <w:rPr>
                <w:b/>
                <w:u w:val="single"/>
              </w:rPr>
              <w:t>40,000</w:t>
            </w:r>
          </w:p>
        </w:tc>
        <w:tc>
          <w:tcPr>
            <w:tcW w:w="1369" w:type="dxa"/>
          </w:tcPr>
          <w:p w:rsidR="0035560D" w:rsidRPr="00596BB4" w:rsidRDefault="0035560D" w:rsidP="0035560D">
            <w:pPr>
              <w:jc w:val="center"/>
              <w:rPr>
                <w:b/>
                <w:u w:val="single"/>
              </w:rPr>
            </w:pPr>
            <w:r w:rsidRPr="00596BB4">
              <w:rPr>
                <w:b/>
                <w:u w:val="single"/>
              </w:rPr>
              <w:t>150</w:t>
            </w:r>
          </w:p>
        </w:tc>
        <w:tc>
          <w:tcPr>
            <w:tcW w:w="802" w:type="dxa"/>
          </w:tcPr>
          <w:p w:rsidR="0035560D" w:rsidRPr="00596BB4" w:rsidRDefault="0035560D" w:rsidP="0035560D">
            <w:pPr>
              <w:jc w:val="center"/>
              <w:rPr>
                <w:b/>
                <w:u w:val="single"/>
              </w:rPr>
            </w:pPr>
            <w:r w:rsidRPr="00596BB4">
              <w:rPr>
                <w:b/>
                <w:u w:val="single"/>
              </w:rPr>
              <w:t>25</w:t>
            </w:r>
          </w:p>
        </w:tc>
        <w:tc>
          <w:tcPr>
            <w:tcW w:w="750" w:type="dxa"/>
          </w:tcPr>
          <w:p w:rsidR="0035560D" w:rsidRPr="00596BB4" w:rsidRDefault="0035560D" w:rsidP="0035560D">
            <w:pPr>
              <w:jc w:val="center"/>
              <w:rPr>
                <w:b/>
                <w:u w:val="single"/>
              </w:rPr>
            </w:pPr>
            <w:r w:rsidRPr="00596BB4">
              <w:rPr>
                <w:b/>
                <w:u w:val="single"/>
              </w:rPr>
              <w:t>20</w:t>
            </w:r>
          </w:p>
        </w:tc>
        <w:tc>
          <w:tcPr>
            <w:tcW w:w="764" w:type="dxa"/>
          </w:tcPr>
          <w:p w:rsidR="0035560D" w:rsidRPr="00596BB4" w:rsidRDefault="0035560D" w:rsidP="0035560D">
            <w:pPr>
              <w:jc w:val="center"/>
              <w:rPr>
                <w:b/>
                <w:u w:val="single"/>
              </w:rPr>
            </w:pPr>
            <w:r w:rsidRPr="00596BB4">
              <w:rPr>
                <w:b/>
                <w:u w:val="single"/>
              </w:rPr>
              <w:t>20</w:t>
            </w:r>
          </w:p>
        </w:tc>
      </w:tr>
      <w:tr w:rsidR="0035560D" w:rsidTr="00596BB4">
        <w:tc>
          <w:tcPr>
            <w:tcW w:w="1615" w:type="dxa"/>
          </w:tcPr>
          <w:p w:rsidR="0035560D" w:rsidRDefault="0035560D" w:rsidP="005E2F61"/>
        </w:tc>
        <w:tc>
          <w:tcPr>
            <w:tcW w:w="2970" w:type="dxa"/>
          </w:tcPr>
          <w:p w:rsidR="0035560D" w:rsidRDefault="0035560D" w:rsidP="005E2F61">
            <w:r>
              <w:t>Any other permitted use</w:t>
            </w:r>
          </w:p>
        </w:tc>
        <w:tc>
          <w:tcPr>
            <w:tcW w:w="1080" w:type="dxa"/>
          </w:tcPr>
          <w:p w:rsidR="0035560D" w:rsidRDefault="0035560D" w:rsidP="0035560D">
            <w:pPr>
              <w:jc w:val="center"/>
            </w:pPr>
            <w:r>
              <w:t>20,000</w:t>
            </w:r>
          </w:p>
        </w:tc>
        <w:tc>
          <w:tcPr>
            <w:tcW w:w="1369" w:type="dxa"/>
          </w:tcPr>
          <w:p w:rsidR="0035560D" w:rsidRDefault="0035560D" w:rsidP="0035560D">
            <w:pPr>
              <w:jc w:val="center"/>
            </w:pPr>
            <w:r>
              <w:t>100</w:t>
            </w:r>
          </w:p>
        </w:tc>
        <w:tc>
          <w:tcPr>
            <w:tcW w:w="802" w:type="dxa"/>
          </w:tcPr>
          <w:p w:rsidR="0035560D" w:rsidRDefault="0035560D" w:rsidP="0035560D">
            <w:pPr>
              <w:jc w:val="center"/>
            </w:pPr>
            <w:r>
              <w:t>25</w:t>
            </w:r>
          </w:p>
        </w:tc>
        <w:tc>
          <w:tcPr>
            <w:tcW w:w="750" w:type="dxa"/>
          </w:tcPr>
          <w:p w:rsidR="0035560D" w:rsidRDefault="0035560D" w:rsidP="0035560D">
            <w:pPr>
              <w:jc w:val="center"/>
            </w:pPr>
            <w:r>
              <w:t>10</w:t>
            </w:r>
          </w:p>
        </w:tc>
        <w:tc>
          <w:tcPr>
            <w:tcW w:w="764" w:type="dxa"/>
          </w:tcPr>
          <w:p w:rsidR="0035560D" w:rsidRDefault="0035560D" w:rsidP="0035560D">
            <w:pPr>
              <w:jc w:val="center"/>
            </w:pPr>
            <w:r>
              <w:t>10</w:t>
            </w:r>
          </w:p>
        </w:tc>
      </w:tr>
    </w:tbl>
    <w:p w:rsidR="0035560D" w:rsidRDefault="0035560D" w:rsidP="005E2F61">
      <w:pPr>
        <w:spacing w:after="0" w:line="240" w:lineRule="auto"/>
      </w:pPr>
    </w:p>
    <w:p w:rsidR="006265CA" w:rsidRPr="00223A35" w:rsidRDefault="006265CA" w:rsidP="00AE056D">
      <w:pPr>
        <w:spacing w:after="0" w:line="240" w:lineRule="auto"/>
      </w:pPr>
    </w:p>
    <w:sectPr w:rsidR="006265CA" w:rsidRPr="00223A35" w:rsidSect="00AE056D">
      <w:footerReference w:type="default" r:id="rId7"/>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CA" w:rsidRDefault="006265CA" w:rsidP="006265CA">
      <w:pPr>
        <w:spacing w:after="0" w:line="240" w:lineRule="auto"/>
      </w:pPr>
      <w:r>
        <w:separator/>
      </w:r>
    </w:p>
  </w:endnote>
  <w:endnote w:type="continuationSeparator" w:id="0">
    <w:p w:rsidR="006265CA" w:rsidRDefault="006265CA" w:rsidP="006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105833"/>
      <w:docPartObj>
        <w:docPartGallery w:val="Page Numbers (Bottom of Page)"/>
        <w:docPartUnique/>
      </w:docPartObj>
    </w:sdtPr>
    <w:sdtEndPr>
      <w:rPr>
        <w:noProof/>
      </w:rPr>
    </w:sdtEndPr>
    <w:sdtContent>
      <w:p w:rsidR="006265CA" w:rsidRDefault="006265CA">
        <w:pPr>
          <w:pStyle w:val="Footer"/>
          <w:jc w:val="center"/>
        </w:pPr>
        <w:r>
          <w:fldChar w:fldCharType="begin"/>
        </w:r>
        <w:r>
          <w:instrText xml:space="preserve"> PAGE   \* MERGEFORMAT </w:instrText>
        </w:r>
        <w:r>
          <w:fldChar w:fldCharType="separate"/>
        </w:r>
        <w:r w:rsidR="000722EE">
          <w:rPr>
            <w:noProof/>
          </w:rPr>
          <w:t>1</w:t>
        </w:r>
        <w:r>
          <w:rPr>
            <w:noProof/>
          </w:rPr>
          <w:fldChar w:fldCharType="end"/>
        </w:r>
      </w:p>
    </w:sdtContent>
  </w:sdt>
  <w:p w:rsidR="006265CA" w:rsidRDefault="0062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CA" w:rsidRDefault="006265CA" w:rsidP="006265CA">
      <w:pPr>
        <w:spacing w:after="0" w:line="240" w:lineRule="auto"/>
      </w:pPr>
      <w:r>
        <w:separator/>
      </w:r>
    </w:p>
  </w:footnote>
  <w:footnote w:type="continuationSeparator" w:id="0">
    <w:p w:rsidR="006265CA" w:rsidRDefault="006265CA" w:rsidP="006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5CB0"/>
    <w:multiLevelType w:val="hybridMultilevel"/>
    <w:tmpl w:val="3F7A796A"/>
    <w:lvl w:ilvl="0" w:tplc="ACE66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15628"/>
    <w:multiLevelType w:val="hybridMultilevel"/>
    <w:tmpl w:val="827436AC"/>
    <w:lvl w:ilvl="0" w:tplc="87006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440F"/>
    <w:multiLevelType w:val="hybridMultilevel"/>
    <w:tmpl w:val="19F8C73E"/>
    <w:lvl w:ilvl="0" w:tplc="B61E3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CE"/>
    <w:rsid w:val="000722EE"/>
    <w:rsid w:val="000727AE"/>
    <w:rsid w:val="00162FD9"/>
    <w:rsid w:val="0019654B"/>
    <w:rsid w:val="001C4BEF"/>
    <w:rsid w:val="00201CF5"/>
    <w:rsid w:val="00223A35"/>
    <w:rsid w:val="002920C3"/>
    <w:rsid w:val="00297CEC"/>
    <w:rsid w:val="002E26F9"/>
    <w:rsid w:val="002E3837"/>
    <w:rsid w:val="0035560D"/>
    <w:rsid w:val="00393E35"/>
    <w:rsid w:val="003E11B9"/>
    <w:rsid w:val="005215A8"/>
    <w:rsid w:val="005844BF"/>
    <w:rsid w:val="00584E69"/>
    <w:rsid w:val="00596BB4"/>
    <w:rsid w:val="005E2F61"/>
    <w:rsid w:val="005E67C8"/>
    <w:rsid w:val="006265CA"/>
    <w:rsid w:val="00771D33"/>
    <w:rsid w:val="007B0589"/>
    <w:rsid w:val="00835E8C"/>
    <w:rsid w:val="00886651"/>
    <w:rsid w:val="00902062"/>
    <w:rsid w:val="009365DE"/>
    <w:rsid w:val="0095418C"/>
    <w:rsid w:val="00A511CE"/>
    <w:rsid w:val="00A51B20"/>
    <w:rsid w:val="00AE056D"/>
    <w:rsid w:val="00BD07E2"/>
    <w:rsid w:val="00C35892"/>
    <w:rsid w:val="00C527F9"/>
    <w:rsid w:val="00C81AFA"/>
    <w:rsid w:val="00C903A2"/>
    <w:rsid w:val="00CC59E4"/>
    <w:rsid w:val="00CE5AA7"/>
    <w:rsid w:val="00E60C00"/>
    <w:rsid w:val="00E90CA8"/>
    <w:rsid w:val="00F3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16739-F1F0-4F4C-82B0-1627867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312B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312B7"/>
    <w:rPr>
      <w:rFonts w:ascii="Courier New" w:eastAsia="Times New Roman" w:hAnsi="Courier New" w:cs="Times New Roman"/>
      <w:sz w:val="20"/>
      <w:szCs w:val="20"/>
    </w:rPr>
  </w:style>
  <w:style w:type="paragraph" w:styleId="ListParagraph">
    <w:name w:val="List Paragraph"/>
    <w:basedOn w:val="Normal"/>
    <w:uiPriority w:val="34"/>
    <w:qFormat/>
    <w:rsid w:val="005E2F61"/>
    <w:pPr>
      <w:ind w:left="720"/>
      <w:contextualSpacing/>
    </w:pPr>
  </w:style>
  <w:style w:type="table" w:styleId="TableGrid">
    <w:name w:val="Table Grid"/>
    <w:basedOn w:val="TableNormal"/>
    <w:uiPriority w:val="39"/>
    <w:rsid w:val="0035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CA"/>
  </w:style>
  <w:style w:type="paragraph" w:styleId="Footer">
    <w:name w:val="footer"/>
    <w:basedOn w:val="Normal"/>
    <w:link w:val="FooterChar"/>
    <w:uiPriority w:val="99"/>
    <w:unhideWhenUsed/>
    <w:rsid w:val="00626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Spitz</dc:creator>
  <cp:keywords/>
  <dc:description/>
  <cp:lastModifiedBy>David Spitz</cp:lastModifiedBy>
  <cp:revision>3</cp:revision>
  <dcterms:created xsi:type="dcterms:W3CDTF">2016-05-03T15:34:00Z</dcterms:created>
  <dcterms:modified xsi:type="dcterms:W3CDTF">2016-05-03T15:36:00Z</dcterms:modified>
</cp:coreProperties>
</file>