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REAL ESTATE &amp; OPEN SPACE COMMITTEE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REVISION OF MEETING AGENDA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LIBRARY ROOM AT TOWN HALL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732 MAIN STREET, HARWICH, MA 02645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EXECUTIVE SESSION 8:30 AM/ REGULAR SESSION 8:50 AM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DECEMBER 15, 2017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Call to order;  Welcome members and guests.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Executive Session - (1) Pursuant to M.G.L. Ch.30A, Sec.20(a)(6), to consider the purchase, exchange, lease or value of real property if the Chair declares that an open meeting may have a detrimental effect on the negotiating position of the Board, on property located on Orleans Rd., (Map 63, Parcel C3 on assessor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database), Harwich, MA.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Regular Session -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Approval of minutes:  Meeting of November 17, 2017.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Old Business: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a.  Discussion and possible vote on a motion of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Move to Rescind the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vote of the Committee as voted on October 20th to not support the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application to CPC for the property known as the Judah Eldredge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property off of Hawksnest Rd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b.  Discussion and possible vote on a motion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 xml:space="preserve">Move to support the   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Community Preservation Committee proposal regarding the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purchase by the Town of Harwich of the property known as the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Judah Eldredge property off of Hawksnest Rd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c.  Discussion of BOS response to request for support using CPA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funds to start title research on Owners Unknown property off of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Little Shaver Lane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d.  Final list of town-owned and owners unknown properties with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committee recommendations for the BOS.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New Business: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a.  Discussion of future agenda items and strategy moving forward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Other Business: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a.  Set next meeting date:  January 19, 2018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b.  Reserve library room for future meeting dates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Adjournment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Authorized Posting Officer:                                 Posted By: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Katherine S. Green, REOS Chair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Signature                                   Date                   Town Clerk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</w:pPr>
      <w:r>
        <w:rPr>
          <w:rtl w:val="0"/>
          <w:lang w:val="en-US"/>
        </w:rPr>
        <w:t>Per the Attorney General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Office:  The Committee may hold an open session for topics not reasonably anticipated by the Chair 48 hours in advance of the meeting following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New Business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  If you are deaf or hard of hearing or a person with a disability who requires an accommodation, contact the Selectmen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Office at 508-432-7513. 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In accordance with state law, this legal notice will be available electronically at </w:t>
      </w:r>
      <w:r>
        <w:rPr>
          <w:rtl w:val="0"/>
          <w:lang w:val="en-US"/>
        </w:rPr>
        <w:t>‘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"http://www.masspublicnotices.org"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www.masspublicnotices.org</w:t>
      </w:r>
      <w:r>
        <w:rPr/>
        <w:fldChar w:fldCharType="end" w:fldLock="0"/>
      </w:r>
      <w:r>
        <w:rPr>
          <w:rtl w:val="0"/>
          <w:lang w:val="en-US"/>
        </w:rPr>
        <w:t>'.  The City/Town is not responsible for any errors in the electronic posting of this legal notice.</w:t>
      </w:r>
      <w:r>
        <w:rPr>
          <w:rtl w:val="0"/>
          <w:lang w:val="en-US"/>
        </w:rPr>
        <w:t>”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