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232B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</w:rPr>
        <w:t> </w:t>
      </w:r>
    </w:p>
    <w:p w14:paraId="522AD401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July 27, 2023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50140AB8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BEC2550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Duncan Berry, Chair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1D603A31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Harwich Planning Board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0FA53242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4F85DA41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RE:</w:t>
      </w:r>
      <w:r>
        <w:rPr>
          <w:rStyle w:val="xxtabchar"/>
          <w:color w:val="000000"/>
          <w:sz w:val="24"/>
          <w:szCs w:val="24"/>
        </w:rPr>
        <w:t xml:space="preserve">     </w:t>
      </w:r>
      <w:r>
        <w:rPr>
          <w:rStyle w:val="xxnormaltextrun"/>
          <w:rFonts w:ascii="Arial" w:hAnsi="Arial" w:cs="Arial"/>
          <w:color w:val="000000"/>
          <w:sz w:val="24"/>
          <w:szCs w:val="24"/>
          <w:u w:val="single"/>
        </w:rPr>
        <w:t>872 Route 28 Stone Horse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5D12C601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3442FEC3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Dear Members of the Planning Board,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093455FC" w14:textId="77777777" w:rsidR="00EB309B" w:rsidRDefault="00EB309B" w:rsidP="00EB309B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37D3618A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You had requested some guidance regarding a Special Permit for an Alternate Access onto Grassy Pond Road.  After a review of our zoning bylaws specifically section 325-</w:t>
      </w:r>
      <w:proofErr w:type="gramStart"/>
      <w:r>
        <w:rPr>
          <w:rStyle w:val="xxeop"/>
          <w:rFonts w:ascii="Arial" w:hAnsi="Arial" w:cs="Arial"/>
          <w:color w:val="000000"/>
          <w:sz w:val="24"/>
          <w:szCs w:val="24"/>
        </w:rPr>
        <w:t>18.K.</w:t>
      </w:r>
      <w:proofErr w:type="gramEnd"/>
      <w:r>
        <w:rPr>
          <w:rStyle w:val="xxeop"/>
          <w:rFonts w:ascii="Arial" w:hAnsi="Arial" w:cs="Arial"/>
          <w:color w:val="000000"/>
          <w:sz w:val="24"/>
          <w:szCs w:val="24"/>
        </w:rPr>
        <w:t xml:space="preserve">  I would not consider this proposal to be an alternate access rather an additional access.  I am not aware of any restriction that would prohibit additional access to a property with legal frontage on a public way in this case 22.58’.  I am aware of many properties around town that have more than one access points, just think of the volume of circular driveways. </w:t>
      </w:r>
    </w:p>
    <w:p w14:paraId="4351BF6D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32299FB3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 xml:space="preserve">I hope that this helps clarify your query.  </w:t>
      </w:r>
    </w:p>
    <w:p w14:paraId="01E06D79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19D46D76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Regards,</w:t>
      </w:r>
    </w:p>
    <w:p w14:paraId="05780BAF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6964EB73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Jack Mee</w:t>
      </w:r>
    </w:p>
    <w:p w14:paraId="5FA9816D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Building Commissioner</w:t>
      </w:r>
    </w:p>
    <w:p w14:paraId="04D72CF6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Town of Harwich</w:t>
      </w:r>
    </w:p>
    <w:p w14:paraId="4DE47E3B" w14:textId="77777777" w:rsidR="00EB309B" w:rsidRDefault="00EB309B" w:rsidP="00EB309B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3A0B865F" w14:textId="77777777" w:rsidR="001221EC" w:rsidRDefault="001221EC"/>
    <w:sectPr w:rsidR="0012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9B"/>
    <w:rsid w:val="001221EC"/>
    <w:rsid w:val="00EB309B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1795"/>
  <w15:chartTrackingRefBased/>
  <w15:docId w15:val="{7F49335D-F8BF-4BF6-88F7-1DF46468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B30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paragraph">
    <w:name w:val="x_xparagraph"/>
    <w:basedOn w:val="Normal"/>
    <w:rsid w:val="00EB30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xxnormaltextrun">
    <w:name w:val="x_xnormaltextrun"/>
    <w:basedOn w:val="DefaultParagraphFont"/>
    <w:rsid w:val="00EB309B"/>
  </w:style>
  <w:style w:type="character" w:customStyle="1" w:styleId="xxeop">
    <w:name w:val="x_xeop"/>
    <w:basedOn w:val="DefaultParagraphFont"/>
    <w:rsid w:val="00EB309B"/>
  </w:style>
  <w:style w:type="character" w:customStyle="1" w:styleId="xxtabchar">
    <w:name w:val="x_xtabchar"/>
    <w:basedOn w:val="DefaultParagraphFont"/>
    <w:rsid w:val="00E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cp:lastPrinted>2023-08-08T13:27:00Z</cp:lastPrinted>
  <dcterms:created xsi:type="dcterms:W3CDTF">2023-08-08T13:27:00Z</dcterms:created>
  <dcterms:modified xsi:type="dcterms:W3CDTF">2023-08-08T13:28:00Z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2023-08-08T13:28:09Z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c185af25-abed-4e46-91c8-c533c35452f6</vt:lpwstr>
  </property>
  <property fmtid="{D5CDD505-2E9C-101B-9397-08002B2CF9AE}" pid="8" name="MSIP_Label_defa4170-0d19-0005-0004-bc88714345d2_ContentBits">
    <vt:lpwstr>0</vt:lpwstr>
  </property>
</Properties>
</file>