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6834" w14:textId="3C0510CE" w:rsidR="00451C8A" w:rsidRPr="00290295" w:rsidRDefault="00290295" w:rsidP="00290295">
      <w:pPr>
        <w:jc w:val="right"/>
        <w:rPr>
          <w:rFonts w:ascii="Times New Roman" w:hAnsi="Times New Roman" w:cs="Times New Roman"/>
          <w:sz w:val="24"/>
          <w:szCs w:val="24"/>
        </w:rPr>
      </w:pPr>
      <w:r w:rsidRPr="00290295">
        <w:rPr>
          <w:rFonts w:ascii="Times New Roman" w:hAnsi="Times New Roman" w:cs="Times New Roman"/>
          <w:sz w:val="24"/>
          <w:szCs w:val="24"/>
        </w:rPr>
        <w:t>April 3, 2023</w:t>
      </w:r>
    </w:p>
    <w:p w14:paraId="4C38718B" w14:textId="2C68B87D" w:rsidR="00290295" w:rsidRDefault="00290295"/>
    <w:p w14:paraId="34B8F8B7" w14:textId="77777777" w:rsidR="00290295" w:rsidRDefault="00290295" w:rsidP="00290295">
      <w:pPr>
        <w:spacing w:after="0" w:line="240" w:lineRule="auto"/>
        <w:jc w:val="center"/>
        <w:rPr>
          <w:rFonts w:ascii="Times New Roman" w:hAnsi="Times New Roman" w:cs="Times New Roman"/>
          <w:color w:val="000000" w:themeColor="text1"/>
          <w:sz w:val="24"/>
          <w:szCs w:val="24"/>
          <w:u w:val="single"/>
        </w:rPr>
      </w:pPr>
      <w:r w:rsidRPr="00290295">
        <w:rPr>
          <w:rFonts w:ascii="Times New Roman" w:hAnsi="Times New Roman" w:cs="Times New Roman"/>
          <w:color w:val="000000" w:themeColor="text1"/>
          <w:sz w:val="24"/>
          <w:szCs w:val="24"/>
          <w:u w:val="single"/>
        </w:rPr>
        <w:t>AMEND ZONING BYLAW – CHAPTER 325, ARTICLE V USE REGULATIONS</w:t>
      </w:r>
    </w:p>
    <w:p w14:paraId="372A588D" w14:textId="77777777" w:rsidR="00290295" w:rsidRDefault="00290295" w:rsidP="00290295">
      <w:pPr>
        <w:spacing w:after="0" w:line="240" w:lineRule="auto"/>
        <w:rPr>
          <w:rFonts w:ascii="Times New Roman" w:hAnsi="Times New Roman" w:cs="Times New Roman"/>
          <w:color w:val="000000" w:themeColor="text1"/>
          <w:sz w:val="24"/>
          <w:szCs w:val="24"/>
        </w:rPr>
      </w:pPr>
    </w:p>
    <w:p w14:paraId="6E93EB6B" w14:textId="77777777" w:rsidR="00290295" w:rsidRDefault="00290295" w:rsidP="00290295">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u w:val="single"/>
        </w:rPr>
        <w:t>ARTICLE 37:</w:t>
      </w:r>
      <w:r>
        <w:rPr>
          <w:rFonts w:ascii="Times New Roman" w:hAnsi="Times New Roman" w:cs="Times New Roman"/>
          <w:sz w:val="24"/>
          <w:szCs w:val="24"/>
        </w:rPr>
        <w:tab/>
        <w:t xml:space="preserve">To see if the Town will vote to amend the Code of the Town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Harwich §325 Article V Section 14. T </w:t>
      </w:r>
      <w:r>
        <w:rPr>
          <w:rFonts w:ascii="Times New Roman" w:hAnsi="Times New Roman" w:cs="Times New Roman"/>
          <w:sz w:val="24"/>
          <w:szCs w:val="24"/>
          <w:u w:val="single"/>
        </w:rPr>
        <w:t>Supplemental regulations.</w:t>
      </w:r>
      <w:r>
        <w:rPr>
          <w:rFonts w:ascii="Times New Roman" w:hAnsi="Times New Roman" w:cs="Times New Roman"/>
          <w:sz w:val="24"/>
          <w:szCs w:val="24"/>
        </w:rPr>
        <w:t xml:space="preserve"> as shown below. (Deleted words are shown as strikethrough. New text is shown in bold and underlined): </w:t>
      </w:r>
    </w:p>
    <w:p w14:paraId="3BBB4BAD" w14:textId="77777777" w:rsidR="00290295" w:rsidRDefault="00290295" w:rsidP="00290295">
      <w:pPr>
        <w:spacing w:after="0" w:line="240" w:lineRule="auto"/>
        <w:ind w:left="990"/>
        <w:jc w:val="both"/>
        <w:rPr>
          <w:rFonts w:ascii="Times New Roman" w:hAnsi="Times New Roman" w:cs="Times New Roman"/>
          <w:sz w:val="24"/>
          <w:szCs w:val="24"/>
        </w:rPr>
      </w:pPr>
    </w:p>
    <w:p w14:paraId="1B530397" w14:textId="77777777" w:rsidR="00290295" w:rsidRDefault="00290295" w:rsidP="00290295">
      <w:pPr>
        <w:spacing w:after="0" w:line="240" w:lineRule="auto"/>
        <w:ind w:left="990"/>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T. </w:t>
      </w:r>
      <w:r>
        <w:rPr>
          <w:rFonts w:ascii="Times New Roman" w:hAnsi="Times New Roman" w:cs="Times New Roman"/>
          <w:sz w:val="24"/>
          <w:szCs w:val="24"/>
        </w:rPr>
        <w:tab/>
      </w:r>
      <w:r>
        <w:rPr>
          <w:rFonts w:ascii="Times New Roman" w:eastAsia="Times New Roman" w:hAnsi="Times New Roman" w:cs="Times New Roman"/>
          <w:color w:val="333333"/>
          <w:sz w:val="24"/>
          <w:szCs w:val="24"/>
        </w:rPr>
        <w:t>Single-</w:t>
      </w:r>
      <w:r>
        <w:rPr>
          <w:rFonts w:ascii="Times New Roman" w:eastAsia="Times New Roman" w:hAnsi="Times New Roman" w:cs="Times New Roman"/>
          <w:bCs/>
          <w:color w:val="333333"/>
          <w:sz w:val="24"/>
          <w:szCs w:val="24"/>
        </w:rPr>
        <w:t xml:space="preserve"> Family dwelling with accessory apartment.</w:t>
      </w:r>
    </w:p>
    <w:p w14:paraId="5ABD863B" w14:textId="77777777" w:rsidR="00290295" w:rsidRDefault="00290295" w:rsidP="00290295">
      <w:pPr>
        <w:shd w:val="clear" w:color="auto" w:fill="FFFFFF"/>
        <w:spacing w:after="0" w:line="240" w:lineRule="auto"/>
        <w:ind w:left="1800" w:hanging="360"/>
        <w:jc w:val="both"/>
        <w:rPr>
          <w:rFonts w:ascii="Times New Roman" w:eastAsia="Times New Roman" w:hAnsi="Times New Roman" w:cs="Times New Roman"/>
          <w:color w:val="333333"/>
          <w:sz w:val="24"/>
          <w:szCs w:val="24"/>
        </w:rPr>
      </w:pPr>
      <w:hyperlink r:id="rId5" w:anchor="35157272" w:tooltip="325-14T(1)" w:history="1">
        <w:r>
          <w:rPr>
            <w:rStyle w:val="Hyperlink"/>
            <w:rFonts w:ascii="Times New Roman" w:eastAsia="Times New Roman" w:hAnsi="Times New Roman" w:cs="Times New Roman"/>
            <w:bCs/>
            <w:color w:val="333333"/>
            <w:sz w:val="24"/>
            <w:szCs w:val="24"/>
          </w:rPr>
          <w:t>1.</w:t>
        </w:r>
        <w:r>
          <w:rPr>
            <w:rStyle w:val="Hyperlink"/>
            <w:rFonts w:ascii="Times New Roman" w:eastAsia="Times New Roman" w:hAnsi="Times New Roman" w:cs="Times New Roman"/>
            <w:b/>
            <w:bCs/>
            <w:color w:val="333333"/>
            <w:sz w:val="24"/>
            <w:szCs w:val="24"/>
          </w:rPr>
          <w:t> </w:t>
        </w:r>
      </w:hyperlink>
      <w:r>
        <w:rPr>
          <w:rFonts w:ascii="Times New Roman" w:eastAsia="Times New Roman" w:hAnsi="Times New Roman" w:cs="Times New Roman"/>
          <w:b/>
          <w:color w:val="333333"/>
          <w:sz w:val="24"/>
          <w:szCs w:val="24"/>
        </w:rPr>
        <w:tab/>
      </w:r>
      <w:r>
        <w:rPr>
          <w:rFonts w:ascii="Times New Roman" w:eastAsia="Times New Roman" w:hAnsi="Times New Roman" w:cs="Times New Roman"/>
          <w:color w:val="333333"/>
          <w:sz w:val="24"/>
          <w:szCs w:val="24"/>
        </w:rPr>
        <w:t>Purpose. The intent of permitting accessory apartments is to:</w:t>
      </w:r>
    </w:p>
    <w:p w14:paraId="33D35F20" w14:textId="77777777" w:rsidR="00290295" w:rsidRDefault="00290295" w:rsidP="00290295">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Increase the number of small dwelling units available for rent in </w:t>
      </w:r>
      <w:proofErr w:type="gramStart"/>
      <w:r>
        <w:rPr>
          <w:rFonts w:ascii="Times New Roman" w:eastAsia="Times New Roman" w:hAnsi="Times New Roman" w:cs="Times New Roman"/>
          <w:color w:val="333333"/>
          <w:sz w:val="24"/>
          <w:szCs w:val="24"/>
        </w:rPr>
        <w:t>Town;</w:t>
      </w:r>
      <w:proofErr w:type="gramEnd"/>
    </w:p>
    <w:p w14:paraId="4EF5125C" w14:textId="77777777" w:rsidR="00290295" w:rsidRDefault="00290295" w:rsidP="00290295">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Increase the range of choice</w:t>
      </w:r>
      <w:r>
        <w:rPr>
          <w:rFonts w:ascii="Times New Roman" w:eastAsia="Times New Roman" w:hAnsi="Times New Roman" w:cs="Times New Roman"/>
          <w:b/>
          <w:color w:val="333333"/>
          <w:sz w:val="24"/>
          <w:szCs w:val="24"/>
        </w:rPr>
        <w:t>s</w:t>
      </w:r>
      <w:r>
        <w:rPr>
          <w:rFonts w:ascii="Times New Roman" w:eastAsia="Times New Roman" w:hAnsi="Times New Roman" w:cs="Times New Roman"/>
          <w:color w:val="333333"/>
          <w:sz w:val="24"/>
          <w:szCs w:val="24"/>
        </w:rPr>
        <w:t xml:space="preserve"> of housing </w:t>
      </w:r>
      <w:proofErr w:type="gramStart"/>
      <w:r>
        <w:rPr>
          <w:rFonts w:ascii="Times New Roman" w:eastAsia="Times New Roman" w:hAnsi="Times New Roman" w:cs="Times New Roman"/>
          <w:color w:val="333333"/>
          <w:sz w:val="24"/>
          <w:szCs w:val="24"/>
        </w:rPr>
        <w:t>accommodations;</w:t>
      </w:r>
      <w:proofErr w:type="gramEnd"/>
    </w:p>
    <w:p w14:paraId="2ACE350E" w14:textId="77777777" w:rsidR="00290295" w:rsidRDefault="00290295" w:rsidP="00290295">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Encourage greater diversity of </w:t>
      </w:r>
      <w:r>
        <w:rPr>
          <w:rFonts w:ascii="Times New Roman" w:eastAsia="Times New Roman" w:hAnsi="Times New Roman" w:cs="Times New Roman"/>
          <w:b/>
          <w:color w:val="333333"/>
          <w:sz w:val="24"/>
          <w:szCs w:val="24"/>
          <w:u w:val="single"/>
        </w:rPr>
        <w:t>the demographic</w:t>
      </w:r>
      <w:r>
        <w:rPr>
          <w:rFonts w:ascii="Times New Roman" w:eastAsia="Times New Roman" w:hAnsi="Times New Roman" w:cs="Times New Roman"/>
          <w:color w:val="333333"/>
          <w:sz w:val="24"/>
          <w:szCs w:val="24"/>
        </w:rPr>
        <w:t xml:space="preserve"> population with particular attention to young adults and senior citizens; and</w:t>
      </w:r>
    </w:p>
    <w:p w14:paraId="43D62790" w14:textId="77777777" w:rsidR="00290295" w:rsidRDefault="00290295" w:rsidP="00290295">
      <w:pPr>
        <w:pStyle w:val="ListParagraph"/>
        <w:numPr>
          <w:ilvl w:val="0"/>
          <w:numId w:val="1"/>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Encourage a more economic and energy-efficient use of the Town's housing supply while maintaining the appearance and character of the Town's single-family neighborhoods.</w:t>
      </w:r>
    </w:p>
    <w:p w14:paraId="09B8921D" w14:textId="77777777" w:rsidR="00290295" w:rsidRDefault="00290295" w:rsidP="00290295">
      <w:pPr>
        <w:shd w:val="clear" w:color="auto" w:fill="FFFFFF"/>
        <w:spacing w:after="0" w:line="240" w:lineRule="auto"/>
        <w:ind w:left="1800" w:hanging="360"/>
        <w:jc w:val="both"/>
        <w:rPr>
          <w:rFonts w:ascii="Times New Roman" w:eastAsia="Times New Roman" w:hAnsi="Times New Roman" w:cs="Times New Roman"/>
          <w:color w:val="333333"/>
          <w:sz w:val="24"/>
          <w:szCs w:val="24"/>
        </w:rPr>
      </w:pPr>
    </w:p>
    <w:p w14:paraId="08CA0B00" w14:textId="77777777" w:rsidR="00290295" w:rsidRDefault="00290295" w:rsidP="00290295">
      <w:pPr>
        <w:shd w:val="clear" w:color="auto" w:fill="FFFFFF"/>
        <w:spacing w:after="0" w:line="240" w:lineRule="auto"/>
        <w:ind w:left="1800" w:hanging="360"/>
        <w:jc w:val="both"/>
        <w:rPr>
          <w:rFonts w:ascii="Times New Roman" w:eastAsia="Times New Roman" w:hAnsi="Times New Roman" w:cs="Times New Roman"/>
          <w:b/>
          <w:color w:val="333333"/>
          <w:sz w:val="24"/>
          <w:szCs w:val="24"/>
        </w:rPr>
      </w:pPr>
      <w:hyperlink r:id="rId6" w:anchor="35157277" w:tooltip="325-14T(2)" w:history="1">
        <w:r>
          <w:rPr>
            <w:rStyle w:val="Hyperlink"/>
            <w:rFonts w:ascii="Times New Roman" w:eastAsia="Times New Roman" w:hAnsi="Times New Roman" w:cs="Times New Roman"/>
            <w:bCs/>
            <w:color w:val="333333"/>
            <w:sz w:val="24"/>
            <w:szCs w:val="24"/>
          </w:rPr>
          <w:t>2.</w:t>
        </w:r>
        <w:r>
          <w:rPr>
            <w:rStyle w:val="Hyperlink"/>
            <w:rFonts w:ascii="Times New Roman" w:eastAsia="Times New Roman" w:hAnsi="Times New Roman" w:cs="Times New Roman"/>
            <w:b/>
            <w:bCs/>
            <w:color w:val="333333"/>
            <w:sz w:val="24"/>
            <w:szCs w:val="24"/>
          </w:rPr>
          <w:t> </w:t>
        </w:r>
      </w:hyperlink>
      <w:r>
        <w:rPr>
          <w:rFonts w:ascii="Times New Roman" w:eastAsia="Times New Roman" w:hAnsi="Times New Roman" w:cs="Times New Roman"/>
          <w:b/>
          <w:bCs/>
          <w:color w:val="333333"/>
          <w:sz w:val="24"/>
          <w:szCs w:val="24"/>
        </w:rPr>
        <w:tab/>
      </w:r>
      <w:r>
        <w:rPr>
          <w:rFonts w:ascii="Times New Roman" w:eastAsia="Times New Roman" w:hAnsi="Times New Roman" w:cs="Times New Roman"/>
          <w:color w:val="333333"/>
          <w:sz w:val="24"/>
          <w:szCs w:val="24"/>
        </w:rPr>
        <w:t>Definitions.</w:t>
      </w:r>
      <w:r>
        <w:rPr>
          <w:rFonts w:ascii="Times New Roman" w:eastAsia="Times New Roman" w:hAnsi="Times New Roman" w:cs="Times New Roman"/>
          <w:b/>
          <w:color w:val="333333"/>
          <w:sz w:val="24"/>
          <w:szCs w:val="24"/>
        </w:rPr>
        <w:t xml:space="preserve"> </w:t>
      </w:r>
    </w:p>
    <w:p w14:paraId="4A14B5C6" w14:textId="77777777" w:rsidR="00290295" w:rsidRDefault="00290295" w:rsidP="00290295">
      <w:pPr>
        <w:pStyle w:val="ListParagraph"/>
        <w:numPr>
          <w:ilvl w:val="1"/>
          <w:numId w:val="2"/>
        </w:numPr>
        <w:shd w:val="clear" w:color="auto" w:fill="FFFFFF"/>
        <w:spacing w:after="0" w:line="240" w:lineRule="auto"/>
        <w:jc w:val="both"/>
        <w:rPr>
          <w:rFonts w:ascii="Times New Roman" w:eastAsia="Times New Roman" w:hAnsi="Times New Roman" w:cs="Times New Roman"/>
          <w:b/>
          <w:color w:val="333333"/>
          <w:sz w:val="24"/>
          <w:szCs w:val="24"/>
        </w:rPr>
      </w:pPr>
      <w:r>
        <w:rPr>
          <w:rFonts w:ascii="Times New Roman" w:hAnsi="Times New Roman" w:cs="Times New Roman"/>
          <w:b/>
          <w:sz w:val="24"/>
          <w:szCs w:val="24"/>
          <w:u w:val="single"/>
        </w:rPr>
        <w:t>Dwelling, Single-Family with Accessory Apartment - A single-family dwelling as a principal use, along with a dwelling unit serving as a separate accessory apartment that is, either located within the principal dwelling, attached to it or in a detached residential accessory building on the same lot. The accessory apartment shall be a self-contained dwelling unit containing a kitchen, bedroom(s</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and bathroom facilities. Accessory dwellings shall have their own separate access from the principal dwelling unit. The accessory apartment shall be an accessory use related to the principal single family dwelling use</w:t>
      </w:r>
      <w:r>
        <w:rPr>
          <w:rFonts w:ascii="Times New Roman" w:hAnsi="Times New Roman" w:cs="Times New Roman"/>
          <w:b/>
          <w:sz w:val="24"/>
          <w:szCs w:val="24"/>
        </w:rPr>
        <w:t xml:space="preserve">. </w:t>
      </w:r>
    </w:p>
    <w:p w14:paraId="178E3E4E" w14:textId="77777777" w:rsidR="00290295" w:rsidRDefault="00290295" w:rsidP="00290295">
      <w:pPr>
        <w:pStyle w:val="ListParagraph"/>
        <w:shd w:val="clear" w:color="auto" w:fill="FFFFFF"/>
        <w:tabs>
          <w:tab w:val="left" w:pos="720"/>
        </w:tabs>
        <w:spacing w:after="0" w:line="240" w:lineRule="auto"/>
        <w:ind w:left="990"/>
        <w:jc w:val="both"/>
        <w:rPr>
          <w:rFonts w:ascii="Times New Roman" w:eastAsia="Times New Roman" w:hAnsi="Times New Roman" w:cs="Times New Roman"/>
          <w:b/>
          <w:color w:val="333333"/>
          <w:sz w:val="24"/>
          <w:szCs w:val="24"/>
        </w:rPr>
      </w:pPr>
    </w:p>
    <w:p w14:paraId="46F8F3DA" w14:textId="77777777" w:rsidR="00290295" w:rsidRDefault="00290295" w:rsidP="00290295">
      <w:pPr>
        <w:pStyle w:val="ListParagraph"/>
        <w:numPr>
          <w:ilvl w:val="1"/>
          <w:numId w:val="2"/>
        </w:num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Owner</w:t>
      </w:r>
      <w:r>
        <w:rPr>
          <w:rFonts w:ascii="Times New Roman" w:eastAsia="Times New Roman" w:hAnsi="Times New Roman" w:cs="Times New Roman"/>
          <w:b/>
          <w:bCs/>
          <w:color w:val="333333"/>
          <w:sz w:val="24"/>
          <w:szCs w:val="24"/>
        </w:rPr>
        <w:t xml:space="preserve"> - </w:t>
      </w:r>
      <w:r>
        <w:rPr>
          <w:rFonts w:ascii="Times New Roman" w:eastAsia="Times New Roman" w:hAnsi="Times New Roman" w:cs="Times New Roman"/>
          <w:color w:val="333333"/>
          <w:sz w:val="24"/>
          <w:szCs w:val="24"/>
        </w:rPr>
        <w:t>One or more individuals holding title to the property.</w:t>
      </w:r>
    </w:p>
    <w:p w14:paraId="57AFD0E7" w14:textId="77777777" w:rsidR="00290295" w:rsidRDefault="00290295" w:rsidP="00290295">
      <w:pPr>
        <w:shd w:val="clear" w:color="auto" w:fill="FFFFFF"/>
        <w:spacing w:after="0" w:line="240" w:lineRule="auto"/>
        <w:ind w:left="990"/>
        <w:jc w:val="both"/>
        <w:rPr>
          <w:rFonts w:ascii="Times New Roman" w:eastAsia="Times New Roman" w:hAnsi="Times New Roman" w:cs="Times New Roman"/>
          <w:color w:val="333333"/>
          <w:sz w:val="24"/>
          <w:szCs w:val="24"/>
        </w:rPr>
      </w:pPr>
    </w:p>
    <w:p w14:paraId="0EEE1E8A" w14:textId="77777777" w:rsidR="00290295" w:rsidRDefault="00290295" w:rsidP="00290295">
      <w:pPr>
        <w:shd w:val="clear" w:color="auto" w:fill="FFFFFF"/>
        <w:tabs>
          <w:tab w:val="left" w:pos="1800"/>
        </w:tabs>
        <w:spacing w:after="120" w:line="240" w:lineRule="auto"/>
        <w:ind w:left="1800" w:hanging="360"/>
        <w:jc w:val="both"/>
        <w:rPr>
          <w:rFonts w:ascii="Times New Roman" w:eastAsia="Times New Roman" w:hAnsi="Times New Roman" w:cs="Times New Roman"/>
          <w:color w:val="333333"/>
          <w:sz w:val="24"/>
          <w:szCs w:val="24"/>
        </w:rPr>
      </w:pPr>
      <w:hyperlink r:id="rId7" w:anchor="35157279" w:tooltip="325-14T(3)" w:history="1">
        <w:r>
          <w:rPr>
            <w:rStyle w:val="Hyperlink"/>
            <w:rFonts w:ascii="Times New Roman" w:eastAsia="Times New Roman" w:hAnsi="Times New Roman" w:cs="Times New Roman"/>
            <w:bCs/>
            <w:color w:val="333333"/>
            <w:sz w:val="24"/>
            <w:szCs w:val="24"/>
          </w:rPr>
          <w:t>3.</w:t>
        </w:r>
        <w:r>
          <w:rPr>
            <w:rStyle w:val="Hyperlink"/>
            <w:rFonts w:ascii="Times New Roman" w:eastAsia="Times New Roman" w:hAnsi="Times New Roman" w:cs="Times New Roman"/>
            <w:b/>
            <w:bCs/>
            <w:color w:val="333333"/>
            <w:sz w:val="24"/>
            <w:szCs w:val="24"/>
          </w:rPr>
          <w:t> </w:t>
        </w:r>
      </w:hyperlink>
      <w:r>
        <w:rPr>
          <w:rFonts w:ascii="Times New Roman" w:eastAsia="Times New Roman" w:hAnsi="Times New Roman" w:cs="Times New Roman"/>
          <w:b/>
          <w:bCs/>
          <w:color w:val="333333"/>
          <w:sz w:val="24"/>
          <w:szCs w:val="24"/>
        </w:rPr>
        <w:tab/>
      </w:r>
      <w:r>
        <w:rPr>
          <w:rFonts w:ascii="Times New Roman" w:eastAsia="Times New Roman" w:hAnsi="Times New Roman" w:cs="Times New Roman"/>
          <w:color w:val="333333"/>
          <w:sz w:val="24"/>
          <w:szCs w:val="24"/>
        </w:rPr>
        <w:t xml:space="preserve">Criteria. – An </w:t>
      </w:r>
      <w:r>
        <w:rPr>
          <w:rFonts w:ascii="Times New Roman" w:eastAsia="Times New Roman" w:hAnsi="Times New Roman" w:cs="Times New Roman"/>
          <w:bCs/>
          <w:color w:val="333333"/>
          <w:sz w:val="24"/>
          <w:szCs w:val="24"/>
        </w:rPr>
        <w:t>accessory apartment</w:t>
      </w:r>
      <w:r>
        <w:rPr>
          <w:rFonts w:ascii="Times New Roman" w:eastAsia="Times New Roman" w:hAnsi="Times New Roman" w:cs="Times New Roman"/>
          <w:color w:val="333333"/>
          <w:sz w:val="24"/>
          <w:szCs w:val="24"/>
        </w:rPr>
        <w:t xml:space="preserve"> is allowable within a single-family dwelling, either attached or detached, provided that the following criteria have been satisfied:</w:t>
      </w:r>
    </w:p>
    <w:p w14:paraId="601647D5"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Only one </w:t>
      </w:r>
      <w:r>
        <w:rPr>
          <w:rFonts w:ascii="Times New Roman" w:eastAsia="Times New Roman" w:hAnsi="Times New Roman" w:cs="Times New Roman"/>
          <w:bCs/>
          <w:color w:val="333333"/>
          <w:sz w:val="24"/>
          <w:szCs w:val="24"/>
        </w:rPr>
        <w:t>accessory apartment</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is permitted for each principal dwelling unit.</w:t>
      </w:r>
    </w:p>
    <w:p w14:paraId="51CE9CF4"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accessory apartment may not be held in separate ownership from the principal use.   </w:t>
      </w:r>
    </w:p>
    <w:p w14:paraId="7E683007"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Only one of the principal dwelling or accessory apartment may be rented at any given time and if rented, shall be rented for a term of no less than six consecutive months.</w:t>
      </w:r>
      <w:r>
        <w:rPr>
          <w:rFonts w:ascii="Times New Roman" w:hAnsi="Times New Roman" w:cs="Times New Roman"/>
          <w:color w:val="333333"/>
          <w:sz w:val="24"/>
          <w:szCs w:val="24"/>
          <w:shd w:val="clear" w:color="auto" w:fill="FFFFFF"/>
        </w:rPr>
        <w:t xml:space="preserve"> </w:t>
      </w:r>
      <w:r>
        <w:rPr>
          <w:rFonts w:ascii="Times New Roman" w:hAnsi="Times New Roman" w:cs="Times New Roman"/>
          <w:b/>
          <w:color w:val="333333"/>
          <w:sz w:val="24"/>
          <w:szCs w:val="24"/>
          <w:u w:val="single"/>
          <w:shd w:val="clear" w:color="auto" w:fill="FFFFFF"/>
        </w:rPr>
        <w:t>Prior to the issuance of a Building Permit, the Owner shall submit a notarized affidavit that states that the owner is or will be in residence in one of the units.</w:t>
      </w:r>
      <w:r>
        <w:rPr>
          <w:rFonts w:ascii="Times New Roman" w:hAnsi="Times New Roman" w:cs="Times New Roman"/>
          <w:b/>
          <w:color w:val="333333"/>
          <w:sz w:val="24"/>
          <w:szCs w:val="24"/>
          <w:shd w:val="clear" w:color="auto" w:fill="FFFFFF"/>
        </w:rPr>
        <w:t xml:space="preserve"> </w:t>
      </w:r>
    </w:p>
    <w:p w14:paraId="7E077240"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accessory apartment shall </w:t>
      </w:r>
      <w:r>
        <w:rPr>
          <w:rFonts w:ascii="Times New Roman" w:eastAsia="Times New Roman" w:hAnsi="Times New Roman" w:cs="Times New Roman"/>
          <w:strike/>
          <w:color w:val="333333"/>
          <w:sz w:val="24"/>
          <w:szCs w:val="24"/>
        </w:rPr>
        <w:t>have a net floor area not exceeding ½ of the net floor area of the principal dwelling unit and not more than 900 square feet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bCs/>
          <w:color w:val="333333"/>
          <w:sz w:val="24"/>
          <w:szCs w:val="24"/>
          <w:u w:val="single"/>
        </w:rPr>
        <w:t xml:space="preserve">not exceed 1,000 square feet </w:t>
      </w:r>
      <w:r>
        <w:rPr>
          <w:rFonts w:ascii="Times New Roman" w:eastAsia="Times New Roman" w:hAnsi="Times New Roman" w:cs="Times New Roman"/>
          <w:b/>
          <w:bCs/>
          <w:sz w:val="24"/>
          <w:szCs w:val="24"/>
          <w:u w:val="single"/>
        </w:rPr>
        <w:t>of gross floor area</w:t>
      </w:r>
      <w:r>
        <w:rPr>
          <w:rFonts w:ascii="Times New Roman" w:eastAsia="Times New Roman" w:hAnsi="Times New Roman" w:cs="Times New Roman"/>
          <w:b/>
          <w:color w:val="333333"/>
          <w:sz w:val="24"/>
          <w:szCs w:val="24"/>
        </w:rPr>
        <w:t>.</w:t>
      </w:r>
    </w:p>
    <w:p w14:paraId="7EB70F3C"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The accessory apartment shall have not more than two bedrooms.</w:t>
      </w:r>
    </w:p>
    <w:p w14:paraId="4FD07917" w14:textId="77777777" w:rsidR="00290295" w:rsidRDefault="00290295" w:rsidP="00290295">
      <w:pPr>
        <w:pStyle w:val="ListParagraph"/>
        <w:numPr>
          <w:ilvl w:val="2"/>
          <w:numId w:val="3"/>
        </w:numPr>
        <w:shd w:val="clear" w:color="auto" w:fill="FFFFFF"/>
        <w:spacing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At least one off-street parking space shall be provided for the accessory apartment.</w:t>
      </w:r>
    </w:p>
    <w:p w14:paraId="0BC250C8" w14:textId="77777777" w:rsidR="00290295" w:rsidRDefault="00290295" w:rsidP="00290295">
      <w:pPr>
        <w:shd w:val="clear" w:color="auto" w:fill="FFFFFF"/>
        <w:spacing w:after="120" w:line="240" w:lineRule="auto"/>
        <w:ind w:left="1440"/>
        <w:jc w:val="both"/>
        <w:rPr>
          <w:rFonts w:ascii="Times New Roman" w:eastAsia="Times New Roman" w:hAnsi="Times New Roman" w:cs="Times New Roman"/>
          <w:strike/>
          <w:color w:val="333333"/>
          <w:sz w:val="24"/>
          <w:szCs w:val="24"/>
        </w:rPr>
      </w:pPr>
      <w:r>
        <w:rPr>
          <w:rFonts w:ascii="Times New Roman" w:eastAsia="Times New Roman" w:hAnsi="Times New Roman" w:cs="Times New Roman"/>
          <w:strike/>
          <w:color w:val="333333"/>
          <w:sz w:val="24"/>
          <w:szCs w:val="24"/>
        </w:rPr>
        <w:t>(</w:t>
      </w:r>
      <w:r>
        <w:rPr>
          <w:rFonts w:ascii="Times New Roman" w:eastAsia="Times New Roman" w:hAnsi="Times New Roman" w:cs="Times New Roman"/>
          <w:b/>
          <w:bCs/>
          <w:strike/>
          <w:color w:val="333333"/>
          <w:sz w:val="24"/>
          <w:szCs w:val="24"/>
        </w:rPr>
        <w:t>g</w:t>
      </w:r>
      <w:r>
        <w:rPr>
          <w:rFonts w:ascii="Times New Roman" w:eastAsia="Times New Roman" w:hAnsi="Times New Roman" w:cs="Times New Roman"/>
          <w:strike/>
          <w:color w:val="333333"/>
          <w:sz w:val="24"/>
          <w:szCs w:val="24"/>
        </w:rPr>
        <w:t>) The minimum lot area required for a parcel to allow an accessory apartment shall not be less than 15,000 square feet if the parcel is situated in an RH-1, CV, CH-1, MRL or MRL-1 District; 20,000 square feet if situated in an RL, RM or RR District; and 40,000 square feet if situated in a Water Resource (WR) Overlay District. For parcels existing within an approved open space residential development or cluster subdivision, the lots size shall be consistent with the endorsed plan.</w:t>
      </w:r>
    </w:p>
    <w:p w14:paraId="38A1D1F0" w14:textId="77777777" w:rsidR="00290295" w:rsidRDefault="00290295" w:rsidP="00290295">
      <w:pPr>
        <w:pStyle w:val="ListParagraph"/>
        <w:shd w:val="clear" w:color="auto" w:fill="FFFFFF"/>
        <w:spacing w:after="0" w:line="240" w:lineRule="auto"/>
        <w:ind w:left="2340" w:hanging="540"/>
        <w:jc w:val="both"/>
        <w:rPr>
          <w:rFonts w:ascii="Times New Roman" w:eastAsia="Times New Roman" w:hAnsi="Times New Roman" w:cs="Times New Roman"/>
          <w:color w:val="333333"/>
          <w:sz w:val="24"/>
          <w:szCs w:val="24"/>
        </w:rPr>
      </w:pPr>
      <w:r>
        <w:rPr>
          <w:rFonts w:ascii="Times New Roman" w:hAnsi="Times New Roman" w:cs="Times New Roman"/>
          <w:strike/>
          <w:sz w:val="24"/>
          <w:szCs w:val="24"/>
        </w:rPr>
        <w:t>h</w:t>
      </w:r>
      <w:r>
        <w:rPr>
          <w:rFonts w:ascii="Times New Roman" w:hAnsi="Times New Roman" w:cs="Times New Roman"/>
          <w:b/>
          <w:bCs/>
          <w:sz w:val="24"/>
          <w:szCs w:val="24"/>
          <w:u w:val="single"/>
        </w:rPr>
        <w:t>g</w:t>
      </w: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color w:val="333333"/>
          <w:sz w:val="24"/>
          <w:szCs w:val="24"/>
        </w:rPr>
        <w:t>The accessory apartment shall be designed so that, to the degree reasonably feasible, the appearance of the property remains that of a single-family property with matching materials, colors, window styles and roof design for one structure, if the apartment is attached, or for both structures, if the apartment is detached.</w:t>
      </w:r>
    </w:p>
    <w:p w14:paraId="32FFB064" w14:textId="77777777" w:rsidR="00290295" w:rsidRDefault="00290295" w:rsidP="00290295">
      <w:pPr>
        <w:shd w:val="clear" w:color="auto" w:fill="FFFFFF"/>
        <w:spacing w:after="0" w:line="240" w:lineRule="auto"/>
        <w:ind w:left="2340" w:hanging="540"/>
        <w:jc w:val="both"/>
        <w:rPr>
          <w:rFonts w:ascii="Times New Roman" w:eastAsia="Times New Roman" w:hAnsi="Times New Roman" w:cs="Times New Roman"/>
          <w:color w:val="333333"/>
          <w:sz w:val="24"/>
          <w:szCs w:val="24"/>
        </w:rPr>
      </w:pPr>
    </w:p>
    <w:p w14:paraId="161EBBC1" w14:textId="77777777" w:rsidR="00290295" w:rsidRDefault="00290295" w:rsidP="00290295">
      <w:pPr>
        <w:shd w:val="clear" w:color="auto" w:fill="FFFFFF"/>
        <w:spacing w:after="120" w:line="240" w:lineRule="auto"/>
        <w:ind w:left="2340" w:hanging="540"/>
        <w:jc w:val="both"/>
        <w:rPr>
          <w:rFonts w:ascii="Times New Roman" w:eastAsia="Times New Roman" w:hAnsi="Times New Roman" w:cs="Times New Roman"/>
          <w:b/>
          <w:color w:val="333333"/>
          <w:sz w:val="24"/>
          <w:szCs w:val="24"/>
        </w:rPr>
      </w:pPr>
      <w:proofErr w:type="spellStart"/>
      <w:r>
        <w:rPr>
          <w:rFonts w:ascii="Times New Roman" w:eastAsia="Times New Roman" w:hAnsi="Times New Roman" w:cs="Times New Roman"/>
          <w:strike/>
          <w:color w:val="333333"/>
          <w:sz w:val="24"/>
          <w:szCs w:val="24"/>
        </w:rPr>
        <w:t>i</w:t>
      </w:r>
      <w:r>
        <w:rPr>
          <w:rFonts w:ascii="Times New Roman" w:eastAsia="Times New Roman" w:hAnsi="Times New Roman" w:cs="Times New Roman"/>
          <w:b/>
          <w:bCs/>
          <w:color w:val="333333"/>
          <w:sz w:val="24"/>
          <w:szCs w:val="24"/>
          <w:u w:val="single"/>
        </w:rPr>
        <w:t>h</w:t>
      </w:r>
      <w:proofErr w:type="spellEnd"/>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 xml:space="preserve">The principal dwelling unit and accessory apartment shall meet all </w:t>
      </w:r>
      <w:r>
        <w:rPr>
          <w:rFonts w:ascii="Times New Roman" w:eastAsia="Times New Roman" w:hAnsi="Times New Roman" w:cs="Times New Roman"/>
          <w:b/>
          <w:color w:val="333333"/>
          <w:sz w:val="24"/>
          <w:szCs w:val="24"/>
          <w:u w:val="single"/>
        </w:rPr>
        <w:t>Board of Health</w:t>
      </w:r>
      <w:r>
        <w:rPr>
          <w:rFonts w:ascii="Times New Roman" w:eastAsia="Times New Roman" w:hAnsi="Times New Roman" w:cs="Times New Roman"/>
          <w:color w:val="333333"/>
          <w:sz w:val="24"/>
          <w:szCs w:val="24"/>
        </w:rPr>
        <w:t xml:space="preserve"> wastewater treatment requirements for the combined number of bedrooms. </w:t>
      </w:r>
    </w:p>
    <w:p w14:paraId="3415A345" w14:textId="77777777" w:rsidR="00290295" w:rsidRDefault="00290295" w:rsidP="00290295">
      <w:pPr>
        <w:shd w:val="clear" w:color="auto" w:fill="FFFFFF"/>
        <w:spacing w:after="120" w:line="240" w:lineRule="auto"/>
        <w:ind w:left="2340" w:hanging="540"/>
        <w:jc w:val="both"/>
        <w:rPr>
          <w:rFonts w:ascii="Times New Roman" w:eastAsia="Times New Roman" w:hAnsi="Times New Roman" w:cs="Times New Roman"/>
          <w:color w:val="333333"/>
          <w:sz w:val="24"/>
          <w:szCs w:val="24"/>
        </w:rPr>
      </w:pPr>
      <w:r>
        <w:rPr>
          <w:rFonts w:ascii="Times New Roman" w:eastAsia="Times New Roman" w:hAnsi="Times New Roman" w:cs="Times New Roman"/>
          <w:strike/>
          <w:color w:val="333333"/>
          <w:sz w:val="24"/>
          <w:szCs w:val="24"/>
        </w:rPr>
        <w:t>j</w:t>
      </w:r>
      <w:r>
        <w:rPr>
          <w:rFonts w:ascii="Times New Roman" w:eastAsia="Times New Roman" w:hAnsi="Times New Roman" w:cs="Times New Roman"/>
          <w:b/>
          <w:bCs/>
          <w:color w:val="333333"/>
          <w:sz w:val="24"/>
          <w:szCs w:val="24"/>
          <w:u w:val="single"/>
        </w:rPr>
        <w:t>i</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t xml:space="preserve">The proposed use shall not exceed the building or site coverage </w:t>
      </w:r>
      <w:r>
        <w:rPr>
          <w:rFonts w:ascii="Times New Roman" w:eastAsia="Times New Roman" w:hAnsi="Times New Roman" w:cs="Times New Roman"/>
          <w:b/>
          <w:color w:val="333333"/>
          <w:sz w:val="24"/>
          <w:szCs w:val="24"/>
          <w:u w:val="single"/>
        </w:rPr>
        <w:t xml:space="preserve">in </w:t>
      </w:r>
      <w:r>
        <w:rPr>
          <w:rFonts w:ascii="Times New Roman" w:eastAsia="Times New Roman" w:hAnsi="Times New Roman" w:cs="Times New Roman"/>
          <w:bCs/>
          <w:strike/>
          <w:color w:val="333333"/>
          <w:sz w:val="24"/>
          <w:szCs w:val="24"/>
        </w:rPr>
        <w:t xml:space="preserve">for </w:t>
      </w:r>
      <w:r>
        <w:rPr>
          <w:rFonts w:ascii="Times New Roman" w:eastAsia="Times New Roman" w:hAnsi="Times New Roman" w:cs="Times New Roman"/>
          <w:bCs/>
          <w:color w:val="333333"/>
          <w:sz w:val="24"/>
          <w:szCs w:val="24"/>
        </w:rPr>
        <w:t xml:space="preserve">the </w:t>
      </w:r>
      <w:r>
        <w:rPr>
          <w:rFonts w:ascii="Times New Roman" w:eastAsia="Times New Roman" w:hAnsi="Times New Roman" w:cs="Times New Roman"/>
          <w:b/>
          <w:color w:val="333333"/>
          <w:sz w:val="24"/>
          <w:szCs w:val="24"/>
          <w:u w:val="single"/>
        </w:rPr>
        <w:t>applicable</w:t>
      </w:r>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strike/>
          <w:color w:val="333333"/>
          <w:sz w:val="24"/>
          <w:szCs w:val="24"/>
        </w:rPr>
        <w:t>z</w:t>
      </w:r>
      <w:r>
        <w:rPr>
          <w:rFonts w:ascii="Times New Roman" w:eastAsia="Times New Roman" w:hAnsi="Times New Roman" w:cs="Times New Roman"/>
          <w:color w:val="333333"/>
          <w:sz w:val="24"/>
          <w:szCs w:val="24"/>
        </w:rPr>
        <w:t>Zoning</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strike/>
          <w:color w:val="333333"/>
          <w:sz w:val="24"/>
          <w:szCs w:val="24"/>
        </w:rPr>
        <w:t>d</w:t>
      </w:r>
      <w:r>
        <w:rPr>
          <w:rFonts w:ascii="Times New Roman" w:eastAsia="Times New Roman" w:hAnsi="Times New Roman" w:cs="Times New Roman"/>
          <w:b/>
          <w:color w:val="333333"/>
          <w:sz w:val="24"/>
          <w:szCs w:val="24"/>
        </w:rPr>
        <w:t>District</w:t>
      </w:r>
      <w:proofErr w:type="spellEnd"/>
      <w:r>
        <w:rPr>
          <w:rFonts w:ascii="Times New Roman" w:eastAsia="Times New Roman" w:hAnsi="Times New Roman" w:cs="Times New Roman"/>
          <w:color w:val="333333"/>
          <w:sz w:val="24"/>
          <w:szCs w:val="24"/>
        </w:rPr>
        <w:t>.</w:t>
      </w:r>
    </w:p>
    <w:p w14:paraId="3D2564D5" w14:textId="77777777" w:rsidR="00290295" w:rsidRDefault="00290295" w:rsidP="00290295">
      <w:pPr>
        <w:shd w:val="clear" w:color="auto" w:fill="FFFFFF"/>
        <w:spacing w:after="120" w:line="240" w:lineRule="auto"/>
        <w:ind w:left="2340" w:hanging="540"/>
        <w:jc w:val="both"/>
        <w:rPr>
          <w:rFonts w:ascii="Times New Roman" w:eastAsia="Times New Roman" w:hAnsi="Times New Roman" w:cs="Times New Roman"/>
          <w:b/>
          <w:color w:val="333333"/>
          <w:sz w:val="24"/>
          <w:szCs w:val="24"/>
        </w:rPr>
      </w:pPr>
      <w:proofErr w:type="spellStart"/>
      <w:r>
        <w:rPr>
          <w:rFonts w:ascii="Times New Roman" w:hAnsi="Times New Roman" w:cs="Times New Roman"/>
          <w:strike/>
          <w:sz w:val="24"/>
          <w:szCs w:val="24"/>
        </w:rPr>
        <w:t>k</w:t>
      </w:r>
      <w:r>
        <w:rPr>
          <w:rFonts w:ascii="Times New Roman" w:hAnsi="Times New Roman" w:cs="Times New Roman"/>
          <w:b/>
          <w:bCs/>
          <w:sz w:val="24"/>
          <w:szCs w:val="24"/>
          <w:u w:val="single"/>
        </w:rPr>
        <w:t>j</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color w:val="333333"/>
          <w:sz w:val="24"/>
          <w:szCs w:val="24"/>
        </w:rPr>
        <w:t xml:space="preserve">If an addition </w:t>
      </w:r>
      <w:r>
        <w:rPr>
          <w:rFonts w:ascii="Times New Roman" w:eastAsia="Times New Roman" w:hAnsi="Times New Roman" w:cs="Times New Roman"/>
          <w:b/>
          <w:color w:val="333333"/>
          <w:sz w:val="24"/>
          <w:szCs w:val="24"/>
          <w:u w:val="single"/>
        </w:rPr>
        <w:t>to the principal dwelling</w:t>
      </w:r>
      <w:r>
        <w:rPr>
          <w:rFonts w:ascii="Times New Roman" w:eastAsia="Times New Roman" w:hAnsi="Times New Roman" w:cs="Times New Roman"/>
          <w:color w:val="333333"/>
          <w:sz w:val="24"/>
          <w:szCs w:val="24"/>
        </w:rPr>
        <w:t xml:space="preserve"> is to be </w:t>
      </w:r>
      <w:r>
        <w:rPr>
          <w:rFonts w:ascii="Times New Roman" w:eastAsia="Times New Roman" w:hAnsi="Times New Roman" w:cs="Times New Roman"/>
          <w:strike/>
          <w:color w:val="333333"/>
          <w:sz w:val="24"/>
          <w:szCs w:val="24"/>
        </w:rPr>
        <w:t>built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u w:val="single"/>
        </w:rPr>
        <w:t>constructed</w:t>
      </w:r>
      <w:r>
        <w:rPr>
          <w:rFonts w:ascii="Times New Roman" w:eastAsia="Times New Roman" w:hAnsi="Times New Roman" w:cs="Times New Roman"/>
          <w:color w:val="333333"/>
          <w:sz w:val="24"/>
          <w:szCs w:val="24"/>
        </w:rPr>
        <w:t xml:space="preserve"> for the </w:t>
      </w:r>
      <w:r>
        <w:rPr>
          <w:rFonts w:ascii="Times New Roman" w:eastAsia="Times New Roman" w:hAnsi="Times New Roman" w:cs="Times New Roman"/>
          <w:strike/>
          <w:color w:val="333333"/>
          <w:sz w:val="24"/>
          <w:szCs w:val="24"/>
        </w:rPr>
        <w:t xml:space="preserve">proposed use </w:t>
      </w:r>
      <w:r>
        <w:rPr>
          <w:rFonts w:ascii="Times New Roman" w:eastAsia="Times New Roman" w:hAnsi="Times New Roman" w:cs="Times New Roman"/>
          <w:b/>
          <w:color w:val="333333"/>
          <w:sz w:val="24"/>
          <w:szCs w:val="24"/>
        </w:rPr>
        <w:t>accessory apartment</w:t>
      </w:r>
      <w:r>
        <w:rPr>
          <w:rFonts w:ascii="Times New Roman" w:eastAsia="Times New Roman" w:hAnsi="Times New Roman" w:cs="Times New Roman"/>
          <w:color w:val="333333"/>
          <w:sz w:val="24"/>
          <w:szCs w:val="24"/>
        </w:rPr>
        <w:t xml:space="preserve">, the addition shall </w:t>
      </w:r>
      <w:r>
        <w:rPr>
          <w:rFonts w:ascii="Times New Roman" w:eastAsia="Times New Roman" w:hAnsi="Times New Roman" w:cs="Times New Roman"/>
          <w:strike/>
          <w:color w:val="333333"/>
          <w:sz w:val="24"/>
          <w:szCs w:val="24"/>
        </w:rPr>
        <w:t xml:space="preserve">be set back from front, </w:t>
      </w:r>
      <w:proofErr w:type="gramStart"/>
      <w:r>
        <w:rPr>
          <w:rFonts w:ascii="Times New Roman" w:eastAsia="Times New Roman" w:hAnsi="Times New Roman" w:cs="Times New Roman"/>
          <w:strike/>
          <w:color w:val="333333"/>
          <w:sz w:val="24"/>
          <w:szCs w:val="24"/>
        </w:rPr>
        <w:t>side</w:t>
      </w:r>
      <w:proofErr w:type="gramEnd"/>
      <w:r>
        <w:rPr>
          <w:rFonts w:ascii="Times New Roman" w:eastAsia="Times New Roman" w:hAnsi="Times New Roman" w:cs="Times New Roman"/>
          <w:strike/>
          <w:color w:val="333333"/>
          <w:sz w:val="24"/>
          <w:szCs w:val="24"/>
        </w:rPr>
        <w:t xml:space="preserve"> and rear lot lines the distance required in the zoning district for new construction</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b/>
          <w:color w:val="333333"/>
          <w:sz w:val="24"/>
          <w:szCs w:val="24"/>
          <w:u w:val="single"/>
        </w:rPr>
        <w:t>comply all with setback requirements in the applicable Zoning District</w:t>
      </w:r>
      <w:r>
        <w:rPr>
          <w:rFonts w:ascii="Times New Roman" w:eastAsia="Times New Roman" w:hAnsi="Times New Roman" w:cs="Times New Roman"/>
          <w:b/>
          <w:color w:val="333333"/>
          <w:sz w:val="24"/>
          <w:szCs w:val="24"/>
        </w:rPr>
        <w:t>.</w:t>
      </w:r>
    </w:p>
    <w:p w14:paraId="5E9A2641" w14:textId="77777777" w:rsidR="00290295" w:rsidRDefault="00290295" w:rsidP="00290295">
      <w:pPr>
        <w:ind w:left="2340" w:hanging="540"/>
        <w:jc w:val="both"/>
        <w:rPr>
          <w:rFonts w:ascii="Times New Roman" w:hAnsi="Times New Roman" w:cs="Times New Roman"/>
          <w:b/>
          <w:sz w:val="24"/>
          <w:szCs w:val="24"/>
          <w:u w:val="single"/>
        </w:rPr>
      </w:pPr>
      <w:r>
        <w:rPr>
          <w:rFonts w:ascii="Times New Roman" w:eastAsia="Times New Roman" w:hAnsi="Times New Roman" w:cs="Times New Roman"/>
          <w:b/>
          <w:color w:val="333333"/>
          <w:sz w:val="24"/>
          <w:szCs w:val="24"/>
          <w:u w:val="single"/>
        </w:rPr>
        <w:t xml:space="preserve">k). </w:t>
      </w:r>
      <w:r>
        <w:rPr>
          <w:rFonts w:ascii="Times New Roman" w:eastAsia="Times New Roman" w:hAnsi="Times New Roman" w:cs="Times New Roman"/>
          <w:b/>
          <w:color w:val="333333"/>
          <w:sz w:val="24"/>
          <w:szCs w:val="24"/>
          <w:u w:val="single"/>
        </w:rPr>
        <w:tab/>
      </w:r>
      <w:r>
        <w:rPr>
          <w:rFonts w:ascii="Times New Roman" w:hAnsi="Times New Roman" w:cs="Times New Roman"/>
          <w:b/>
          <w:sz w:val="24"/>
          <w:szCs w:val="24"/>
          <w:u w:val="single"/>
        </w:rPr>
        <w:t>The Zoning Board of Appeals may grant a Special Permit for preexisting nonconforming principal dwellings and residential accessory buildings that do not comply with the setback or lot coverage requirements in the applicable Zoning District.</w:t>
      </w:r>
    </w:p>
    <w:p w14:paraId="5ABA7483" w14:textId="77777777" w:rsidR="00290295" w:rsidRDefault="00290295" w:rsidP="00290295">
      <w:pPr>
        <w:ind w:left="1800"/>
        <w:rPr>
          <w:rFonts w:ascii="Times New Roman" w:hAnsi="Times New Roman" w:cs="Times New Roman"/>
          <w:strike/>
          <w:sz w:val="24"/>
          <w:szCs w:val="24"/>
        </w:rPr>
      </w:pPr>
      <w:r>
        <w:rPr>
          <w:rFonts w:ascii="Times New Roman" w:hAnsi="Times New Roman" w:cs="Times New Roman"/>
          <w:strike/>
          <w:sz w:val="24"/>
          <w:szCs w:val="24"/>
        </w:rPr>
        <w:t>The Building Commissioner shall determine compliance with said criteria following receipt of the application for a building permit for a change in use and/</w:t>
      </w:r>
      <w:proofErr w:type="gramStart"/>
      <w:r>
        <w:rPr>
          <w:rFonts w:ascii="Times New Roman" w:hAnsi="Times New Roman" w:cs="Times New Roman"/>
          <w:strike/>
          <w:sz w:val="24"/>
          <w:szCs w:val="24"/>
        </w:rPr>
        <w:t>or  for</w:t>
      </w:r>
      <w:proofErr w:type="gramEnd"/>
      <w:r>
        <w:rPr>
          <w:rFonts w:ascii="Times New Roman" w:hAnsi="Times New Roman" w:cs="Times New Roman"/>
          <w:strike/>
          <w:sz w:val="24"/>
          <w:szCs w:val="24"/>
        </w:rPr>
        <w:t xml:space="preserve"> construction of the said accessory apartment.</w:t>
      </w:r>
    </w:p>
    <w:p w14:paraId="3E14AAD2" w14:textId="77777777" w:rsidR="00290295" w:rsidRDefault="00290295" w:rsidP="00290295">
      <w:pPr>
        <w:ind w:left="2250" w:hanging="450"/>
        <w:rPr>
          <w:rFonts w:ascii="Times New Roman" w:hAnsi="Times New Roman" w:cs="Times New Roman"/>
          <w:b/>
          <w:bCs/>
          <w:sz w:val="24"/>
          <w:szCs w:val="24"/>
          <w:u w:val="single"/>
        </w:rPr>
      </w:pPr>
      <w:r>
        <w:rPr>
          <w:rFonts w:ascii="Times New Roman" w:hAnsi="Times New Roman" w:cs="Times New Roman"/>
          <w:b/>
          <w:bCs/>
          <w:sz w:val="24"/>
          <w:szCs w:val="24"/>
          <w:u w:val="single"/>
        </w:rPr>
        <w:t>l).</w:t>
      </w:r>
      <w:r>
        <w:rPr>
          <w:rFonts w:ascii="Times New Roman" w:hAnsi="Times New Roman" w:cs="Times New Roman"/>
          <w:b/>
          <w:bCs/>
          <w:sz w:val="24"/>
          <w:szCs w:val="24"/>
          <w:u w:val="single"/>
        </w:rPr>
        <w:tab/>
        <w:t>Upon receipt of a complete Building Permit application for a change or expansion of use for construction of the accessory apartment, the Building Commissioner shall determine compliance with the Criteria listed above.</w:t>
      </w:r>
    </w:p>
    <w:p w14:paraId="39E9FCFA" w14:textId="77777777" w:rsidR="00290295" w:rsidRDefault="00290295" w:rsidP="00290295">
      <w:pPr>
        <w:ind w:left="2160" w:hanging="360"/>
        <w:jc w:val="both"/>
        <w:rPr>
          <w:rFonts w:ascii="Times New Roman" w:hAnsi="Times New Roman" w:cs="Times New Roman"/>
          <w:b/>
          <w:sz w:val="24"/>
          <w:szCs w:val="24"/>
          <w:u w:val="single"/>
        </w:rPr>
      </w:pPr>
    </w:p>
    <w:p w14:paraId="609ACF9F" w14:textId="77777777" w:rsidR="00290295" w:rsidRDefault="00290295" w:rsidP="00290295">
      <w:pPr>
        <w:shd w:val="clear" w:color="auto" w:fill="FFFFFF"/>
        <w:spacing w:after="0" w:line="240" w:lineRule="auto"/>
        <w:ind w:left="1800" w:hanging="360"/>
        <w:rPr>
          <w:rFonts w:ascii="Times New Roman" w:eastAsia="Times New Roman" w:hAnsi="Times New Roman" w:cs="Times New Roman"/>
          <w:b/>
          <w:color w:val="333333"/>
          <w:sz w:val="24"/>
          <w:szCs w:val="24"/>
          <w:u w:val="single"/>
        </w:rPr>
      </w:pPr>
      <w:hyperlink r:id="rId8" w:anchor="35157291" w:tooltip="325-14T(4)" w:history="1">
        <w:r>
          <w:rPr>
            <w:rStyle w:val="Hyperlink"/>
            <w:rFonts w:ascii="Times New Roman" w:eastAsia="Times New Roman" w:hAnsi="Times New Roman" w:cs="Times New Roman"/>
            <w:b/>
            <w:bCs/>
            <w:color w:val="333333"/>
            <w:sz w:val="24"/>
            <w:szCs w:val="24"/>
          </w:rPr>
          <w:t>4.   </w:t>
        </w:r>
      </w:hyperlink>
      <w:r>
        <w:rPr>
          <w:rFonts w:ascii="Times New Roman" w:hAnsi="Times New Roman" w:cs="Times New Roman"/>
          <w:b/>
          <w:bCs/>
          <w:sz w:val="24"/>
          <w:szCs w:val="24"/>
        </w:rPr>
        <w:t xml:space="preserve"> </w:t>
      </w:r>
      <w:r>
        <w:rPr>
          <w:rFonts w:ascii="Times New Roman" w:eastAsia="Times New Roman" w:hAnsi="Times New Roman" w:cs="Times New Roman"/>
          <w:bCs/>
          <w:strike/>
          <w:color w:val="333333"/>
          <w:sz w:val="24"/>
          <w:szCs w:val="24"/>
        </w:rPr>
        <w:t xml:space="preserve">A determination that the owner has failed to comply with the forgoing criteria shall be evidence that the rights and benefits conferred hereunder are null and void and the elements that make the accessory apartment a separate dwelling </w:t>
      </w:r>
      <w:r>
        <w:rPr>
          <w:rFonts w:ascii="Times New Roman" w:eastAsia="Times New Roman" w:hAnsi="Times New Roman" w:cs="Times New Roman"/>
          <w:bCs/>
          <w:strike/>
          <w:color w:val="333333"/>
          <w:sz w:val="24"/>
          <w:szCs w:val="24"/>
        </w:rPr>
        <w:lastRenderedPageBreak/>
        <w:t>unit shall be removed from the property within 90 days of said determination, with the owner to comply with all requirements of the State Building Code and Town Zoning in removing elements determined to be unpermitted.</w:t>
      </w:r>
      <w:r>
        <w:rPr>
          <w:rFonts w:ascii="Times New Roman" w:eastAsia="Times New Roman" w:hAnsi="Times New Roman" w:cs="Times New Roman"/>
          <w:b/>
          <w:color w:val="333333"/>
          <w:sz w:val="24"/>
          <w:szCs w:val="24"/>
          <w:u w:val="single"/>
        </w:rPr>
        <w:t xml:space="preserve"> If the Building Commissioner makes a determination that the owner is not in compliance with the Criteria listed above, including Criteria (</w:t>
      </w:r>
      <w:proofErr w:type="gramStart"/>
      <w:r>
        <w:rPr>
          <w:rFonts w:ascii="Times New Roman" w:eastAsia="Times New Roman" w:hAnsi="Times New Roman" w:cs="Times New Roman"/>
          <w:b/>
          <w:color w:val="333333"/>
          <w:sz w:val="24"/>
          <w:szCs w:val="24"/>
          <w:u w:val="single"/>
        </w:rPr>
        <w:t>3)c.</w:t>
      </w:r>
      <w:proofErr w:type="gramEnd"/>
      <w:r>
        <w:rPr>
          <w:rFonts w:ascii="Times New Roman" w:eastAsia="Times New Roman" w:hAnsi="Times New Roman" w:cs="Times New Roman"/>
          <w:b/>
          <w:color w:val="333333"/>
          <w:sz w:val="24"/>
          <w:szCs w:val="24"/>
          <w:u w:val="single"/>
        </w:rPr>
        <w:t xml:space="preserve"> above, after the issuance of a Certificate of Occupancy, the Owner may be subject to fines for the Zoning violation.  In addition to being fined, the approval of the accessory apartment may be revoked, if the Owner does not correct a Zoning violation within 30 days.  If the approval of the accessory apartment is revoked by the Building Commissioner, the owner will be required to remove the improvements that were constructed to create the accessory apartment within 90 days of said determination.  The owner shall comply with all requirements of the State Building Code in restoring the principal dwelling or detached structure to its condition prior to the construction of the accessory apartment.</w:t>
      </w:r>
    </w:p>
    <w:p w14:paraId="2E1BE792" w14:textId="77777777" w:rsidR="00290295" w:rsidRDefault="00290295" w:rsidP="00290295">
      <w:pPr>
        <w:spacing w:after="0" w:line="240" w:lineRule="auto"/>
        <w:ind w:left="720"/>
        <w:jc w:val="both"/>
        <w:rPr>
          <w:rFonts w:ascii="Times New Roman" w:hAnsi="Times New Roman" w:cs="Times New Roman"/>
          <w:color w:val="000000" w:themeColor="text1"/>
          <w:sz w:val="24"/>
          <w:szCs w:val="24"/>
        </w:rPr>
      </w:pPr>
    </w:p>
    <w:p w14:paraId="7F8F9996" w14:textId="77777777" w:rsidR="00290295" w:rsidRDefault="00290295" w:rsidP="00290295">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Or to take any other action relative thereto.  </w:t>
      </w:r>
      <w:r>
        <w:rPr>
          <w:rFonts w:ascii="Times New Roman" w:hAnsi="Times New Roman" w:cs="Times New Roman"/>
          <w:color w:val="000000" w:themeColor="text1"/>
          <w:sz w:val="24"/>
          <w:szCs w:val="24"/>
        </w:rPr>
        <w:t>By request of the Planning Board.</w:t>
      </w:r>
    </w:p>
    <w:p w14:paraId="487A68D4" w14:textId="77777777" w:rsidR="00290295" w:rsidRDefault="00290295"/>
    <w:sectPr w:rsidR="0029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52C28"/>
    <w:multiLevelType w:val="hybridMultilevel"/>
    <w:tmpl w:val="04CE8D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7">
      <w:start w:val="1"/>
      <w:numFmt w:val="lowerLetter"/>
      <w:lvlText w:val="%3)"/>
      <w:lvlJc w:val="left"/>
      <w:pPr>
        <w:ind w:left="216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BF4316E"/>
    <w:multiLevelType w:val="hybridMultilevel"/>
    <w:tmpl w:val="D2FE1756"/>
    <w:lvl w:ilvl="0" w:tplc="04090017">
      <w:start w:val="1"/>
      <w:numFmt w:val="lowerLetter"/>
      <w:lvlText w:val="%1)"/>
      <w:lvlJc w:val="left"/>
      <w:pPr>
        <w:ind w:left="2160" w:hanging="360"/>
      </w:pPr>
    </w:lvl>
    <w:lvl w:ilvl="1" w:tplc="C4DCAD64">
      <w:start w:val="1"/>
      <w:numFmt w:val="lowerLetter"/>
      <w:lvlText w:val="(%2)"/>
      <w:lvlJc w:val="left"/>
      <w:pPr>
        <w:ind w:left="2880" w:hanging="360"/>
      </w:pPr>
      <w:rPr>
        <w:rFonts w:eastAsiaTheme="minorHAnsi"/>
        <w:color w:val="auto"/>
        <w:u w:val="single"/>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7CEB2090"/>
    <w:multiLevelType w:val="hybridMultilevel"/>
    <w:tmpl w:val="E0F479E8"/>
    <w:lvl w:ilvl="0" w:tplc="FFFFFFFF">
      <w:start w:val="1"/>
      <w:numFmt w:val="lowerLetter"/>
      <w:lvlText w:val="%1)"/>
      <w:lvlJc w:val="left"/>
      <w:pPr>
        <w:ind w:left="2160" w:hanging="360"/>
      </w:pPr>
    </w:lvl>
    <w:lvl w:ilvl="1" w:tplc="04090017">
      <w:start w:val="1"/>
      <w:numFmt w:val="lowerLetter"/>
      <w:lvlText w:val="%2)"/>
      <w:lvlJc w:val="left"/>
      <w:pPr>
        <w:ind w:left="2160" w:hanging="360"/>
      </w:pPr>
    </w:lvl>
    <w:lvl w:ilvl="2" w:tplc="1828377C">
      <w:start w:val="1"/>
      <w:numFmt w:val="upperLetter"/>
      <w:lvlText w:val="%3."/>
      <w:lvlJc w:val="left"/>
      <w:pPr>
        <w:ind w:left="3780" w:hanging="36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num w:numId="1" w16cid:durableId="2123113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541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5767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95"/>
    <w:rsid w:val="00290295"/>
    <w:rsid w:val="0065748B"/>
    <w:rsid w:val="00660DDF"/>
    <w:rsid w:val="00A6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7728"/>
  <w15:chartTrackingRefBased/>
  <w15:docId w15:val="{B1C1460F-5F3E-4267-90EC-985E5EB2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295"/>
    <w:rPr>
      <w:color w:val="0563C1" w:themeColor="hyperlink"/>
      <w:u w:val="single"/>
    </w:rPr>
  </w:style>
  <w:style w:type="paragraph" w:styleId="ListParagraph">
    <w:name w:val="List Paragraph"/>
    <w:basedOn w:val="Normal"/>
    <w:uiPriority w:val="34"/>
    <w:qFormat/>
    <w:rsid w:val="0029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5157291" TargetMode="External"/><Relationship Id="rId3" Type="http://schemas.openxmlformats.org/officeDocument/2006/relationships/settings" Target="settings.xml"/><Relationship Id="rId7" Type="http://schemas.openxmlformats.org/officeDocument/2006/relationships/hyperlink" Target="https://ecode360.com/35157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35157277" TargetMode="External"/><Relationship Id="rId5" Type="http://schemas.openxmlformats.org/officeDocument/2006/relationships/hyperlink" Target="https://ecode360.com/351572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5414</Characters>
  <Application>Microsoft Office Word</Application>
  <DocSecurity>0</DocSecurity>
  <Lines>45</Lines>
  <Paragraphs>12</Paragraphs>
  <ScaleCrop>false</ScaleCrop>
  <Company>HP Inc.</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Paul Halkiotis</cp:lastModifiedBy>
  <cp:revision>1</cp:revision>
  <dcterms:created xsi:type="dcterms:W3CDTF">2023-04-03T13:06:00Z</dcterms:created>
  <dcterms:modified xsi:type="dcterms:W3CDTF">2023-04-03T13:09:00Z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2023-04-03T13:09:10Z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c4e221e7-c21e-4090-b7ce-862d467a52a6</vt:lpwstr>
  </property>
  <property fmtid="{D5CDD505-2E9C-101B-9397-08002B2CF9AE}" pid="8" name="MSIP_Label_defa4170-0d19-0005-0004-bc88714345d2_ContentBits">
    <vt:lpwstr>0</vt:lpwstr>
  </property>
</Properties>
</file>