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2E9" w:rsidRPr="006E137F" w:rsidRDefault="00BC12E9" w:rsidP="004259F9">
      <w:pPr>
        <w:jc w:val="center"/>
        <w:rPr>
          <w:spacing w:val="80"/>
        </w:rPr>
      </w:pPr>
      <w:r>
        <w:object w:dxaOrig="5609" w:dyaOrig="5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1in" o:ole="">
            <v:imagedata r:id="rId7" o:title=""/>
          </v:shape>
          <o:OLEObject Type="Embed" ProgID="MSPhotoEd.3" ShapeID="_x0000_i1025" DrawAspect="Content" ObjectID="_1677917688" r:id="rId8"/>
        </w:object>
      </w:r>
      <w:r w:rsidRPr="006E137F">
        <w:rPr>
          <w:b/>
          <w:bCs/>
          <w:spacing w:val="80"/>
          <w:sz w:val="28"/>
          <w:szCs w:val="28"/>
        </w:rPr>
        <w:t xml:space="preserve">Town of </w:t>
      </w:r>
      <w:smartTag w:uri="urn:schemas-microsoft-com:office:smarttags" w:element="City">
        <w:smartTag w:uri="urn:schemas-microsoft-com:office:smarttags" w:element="place">
          <w:r w:rsidRPr="006E137F">
            <w:rPr>
              <w:b/>
              <w:bCs/>
              <w:spacing w:val="80"/>
              <w:sz w:val="28"/>
              <w:szCs w:val="28"/>
            </w:rPr>
            <w:t>Harwich</w:t>
          </w:r>
        </w:smartTag>
      </w:smartTag>
    </w:p>
    <w:p w:rsidR="00BC12E9" w:rsidRPr="006E137F" w:rsidRDefault="00BC12E9" w:rsidP="004259F9">
      <w:pPr>
        <w:tabs>
          <w:tab w:val="left" w:pos="0"/>
        </w:tabs>
        <w:jc w:val="center"/>
        <w:rPr>
          <w:b/>
          <w:spacing w:val="40"/>
        </w:rPr>
      </w:pPr>
      <w:r w:rsidRPr="006E137F">
        <w:rPr>
          <w:b/>
          <w:spacing w:val="40"/>
        </w:rPr>
        <w:t>Board of Health</w:t>
      </w:r>
    </w:p>
    <w:p w:rsidR="00BC12E9" w:rsidRPr="006E137F" w:rsidRDefault="00BC12E9" w:rsidP="004259F9">
      <w:pPr>
        <w:tabs>
          <w:tab w:val="left" w:pos="-540"/>
        </w:tabs>
        <w:jc w:val="center"/>
        <w:rPr>
          <w:sz w:val="20"/>
          <w:szCs w:val="20"/>
        </w:rPr>
      </w:pPr>
      <w:smartTag w:uri="urn:schemas-microsoft-com:office:smarttags" w:element="address">
        <w:smartTag w:uri="urn:schemas-microsoft-com:office:smarttags" w:element="Street">
          <w:r w:rsidRPr="006E137F">
            <w:rPr>
              <w:sz w:val="20"/>
              <w:szCs w:val="20"/>
            </w:rPr>
            <w:t>732 Main Street</w:t>
          </w:r>
        </w:smartTag>
        <w:r w:rsidRPr="006E137F">
          <w:rPr>
            <w:sz w:val="20"/>
            <w:szCs w:val="20"/>
          </w:rPr>
          <w:t xml:space="preserve"> </w:t>
        </w:r>
        <w:smartTag w:uri="urn:schemas-microsoft-com:office:smarttags" w:element="City">
          <w:r w:rsidRPr="006E137F">
            <w:rPr>
              <w:sz w:val="20"/>
              <w:szCs w:val="20"/>
            </w:rPr>
            <w:t>Harwich</w:t>
          </w:r>
        </w:smartTag>
        <w:r w:rsidRPr="006E137F">
          <w:rPr>
            <w:sz w:val="20"/>
            <w:szCs w:val="20"/>
          </w:rPr>
          <w:t xml:space="preserve">, </w:t>
        </w:r>
        <w:smartTag w:uri="urn:schemas-microsoft-com:office:smarttags" w:element="State">
          <w:r w:rsidRPr="006E137F">
            <w:rPr>
              <w:sz w:val="20"/>
              <w:szCs w:val="20"/>
            </w:rPr>
            <w:t>MA</w:t>
          </w:r>
        </w:smartTag>
        <w:r w:rsidRPr="006E137F">
          <w:rPr>
            <w:sz w:val="20"/>
            <w:szCs w:val="20"/>
          </w:rPr>
          <w:t xml:space="preserve"> </w:t>
        </w:r>
        <w:smartTag w:uri="urn:schemas-microsoft-com:office:smarttags" w:element="PostalCode">
          <w:r w:rsidRPr="006E137F">
            <w:rPr>
              <w:sz w:val="20"/>
              <w:szCs w:val="20"/>
            </w:rPr>
            <w:t>02645</w:t>
          </w:r>
        </w:smartTag>
      </w:smartTag>
    </w:p>
    <w:p w:rsidR="00BC12E9" w:rsidRPr="006E137F" w:rsidRDefault="00BC12E9" w:rsidP="004259F9">
      <w:pPr>
        <w:tabs>
          <w:tab w:val="left" w:pos="0"/>
        </w:tabs>
        <w:jc w:val="center"/>
        <w:rPr>
          <w:sz w:val="20"/>
          <w:szCs w:val="20"/>
        </w:rPr>
      </w:pPr>
      <w:r w:rsidRPr="006E137F">
        <w:rPr>
          <w:sz w:val="20"/>
          <w:szCs w:val="20"/>
        </w:rPr>
        <w:t>508-430-7509 – Fax 508-430-7531</w:t>
      </w:r>
    </w:p>
    <w:p w:rsidR="00BC12E9" w:rsidRDefault="00BC12E9" w:rsidP="004259F9">
      <w:pPr>
        <w:tabs>
          <w:tab w:val="left" w:pos="0"/>
        </w:tabs>
        <w:jc w:val="center"/>
        <w:rPr>
          <w:sz w:val="20"/>
          <w:szCs w:val="20"/>
          <w:lang w:val="it-IT"/>
        </w:rPr>
      </w:pPr>
      <w:r w:rsidRPr="00820EB1">
        <w:rPr>
          <w:sz w:val="20"/>
          <w:szCs w:val="20"/>
          <w:lang w:val="it-IT"/>
        </w:rPr>
        <w:t>E</w:t>
      </w:r>
      <w:r>
        <w:rPr>
          <w:sz w:val="20"/>
          <w:szCs w:val="20"/>
          <w:lang w:val="it-IT"/>
        </w:rPr>
        <w:t>-mail: health@town.harwich.ma.us</w:t>
      </w:r>
    </w:p>
    <w:p w:rsidR="00BC12E9" w:rsidRPr="00820EB1" w:rsidRDefault="00BC12E9" w:rsidP="004259F9">
      <w:pPr>
        <w:tabs>
          <w:tab w:val="left" w:pos="0"/>
        </w:tabs>
        <w:rPr>
          <w:sz w:val="20"/>
          <w:szCs w:val="20"/>
          <w:lang w:val="it-IT"/>
        </w:rPr>
        <w:sectPr w:rsidR="00BC12E9" w:rsidRPr="00820EB1" w:rsidSect="00BC12E9">
          <w:headerReference w:type="default" r:id="rId9"/>
          <w:pgSz w:w="12240" w:h="15840"/>
          <w:pgMar w:top="1253" w:right="3600" w:bottom="936" w:left="1714" w:header="1195" w:footer="720" w:gutter="0"/>
          <w:cols w:num="2" w:space="720" w:equalWidth="0">
            <w:col w:w="1436" w:space="1080"/>
            <w:col w:w="4410"/>
          </w:cols>
          <w:noEndnote/>
          <w:titlePg/>
        </w:sectPr>
      </w:pPr>
    </w:p>
    <w:p w:rsidR="00BC12E9" w:rsidRDefault="00BC12E9" w:rsidP="004259F9">
      <w:pPr>
        <w:pStyle w:val="Default"/>
        <w:jc w:val="both"/>
        <w:rPr>
          <w:sz w:val="22"/>
          <w:szCs w:val="22"/>
        </w:rPr>
      </w:pPr>
    </w:p>
    <w:p w:rsidR="00BC12E9" w:rsidRPr="00F37D1E" w:rsidRDefault="00BC12E9" w:rsidP="004259F9">
      <w:pPr>
        <w:pStyle w:val="Default"/>
        <w:jc w:val="both"/>
      </w:pPr>
      <w:r>
        <w:t>March 22, 2021</w:t>
      </w:r>
    </w:p>
    <w:p w:rsidR="00BC12E9" w:rsidRPr="00F37D1E" w:rsidRDefault="00BC12E9" w:rsidP="004259F9">
      <w:pPr>
        <w:pStyle w:val="Default"/>
        <w:jc w:val="both"/>
      </w:pPr>
    </w:p>
    <w:p w:rsidR="00BC12E9" w:rsidRPr="00F37D1E" w:rsidRDefault="00BC12E9" w:rsidP="004259F9">
      <w:pPr>
        <w:pStyle w:val="Default"/>
        <w:jc w:val="both"/>
      </w:pPr>
      <w:r w:rsidRPr="00F37D1E">
        <w:t>Weekly COVID-19 Case Update</w:t>
      </w:r>
    </w:p>
    <w:p w:rsidR="00BC12E9" w:rsidRPr="00F37D1E" w:rsidRDefault="00BC12E9" w:rsidP="004259F9">
      <w:pPr>
        <w:pStyle w:val="Default"/>
        <w:jc w:val="both"/>
      </w:pPr>
    </w:p>
    <w:p w:rsidR="00BC12E9" w:rsidRPr="00F37D1E" w:rsidRDefault="00BC12E9" w:rsidP="004259F9">
      <w:pPr>
        <w:pStyle w:val="Default"/>
        <w:jc w:val="both"/>
        <w:rPr>
          <w:color w:val="0070C0"/>
        </w:rPr>
      </w:pPr>
      <w:r w:rsidRPr="00F37D1E">
        <w:rPr>
          <w:color w:val="0070C0"/>
        </w:rPr>
        <w:t>CASES AND STATISTICS</w:t>
      </w:r>
    </w:p>
    <w:p w:rsidR="00BC12E9" w:rsidRPr="00F37D1E" w:rsidRDefault="00BC12E9" w:rsidP="004259F9">
      <w:pPr>
        <w:pStyle w:val="Default"/>
        <w:jc w:val="both"/>
        <w:rPr>
          <w:color w:val="0070C0"/>
        </w:rPr>
      </w:pPr>
    </w:p>
    <w:p w:rsidR="00BC12E9" w:rsidRPr="003B4F71" w:rsidRDefault="00BC12E9" w:rsidP="004259F9">
      <w:pPr>
        <w:pStyle w:val="Default"/>
        <w:jc w:val="both"/>
      </w:pPr>
      <w:r w:rsidRPr="00F37D1E">
        <w:t xml:space="preserve">To date there have been a total of </w:t>
      </w:r>
      <w:r w:rsidR="00206006">
        <w:t>606</w:t>
      </w:r>
      <w:r w:rsidRPr="00F37D1E">
        <w:t xml:space="preserve"> cases of COVID-19 in the Town of Harwich. As of today, we are following </w:t>
      </w:r>
      <w:r w:rsidR="007D5D38">
        <w:t>18</w:t>
      </w:r>
      <w:r w:rsidRPr="00F37D1E">
        <w:t xml:space="preserve"> active cases o</w:t>
      </w:r>
      <w:r>
        <w:t xml:space="preserve">f COVID-19 in Harwich residents. Our </w:t>
      </w:r>
      <w:r w:rsidRPr="00F37D1E">
        <w:t>positivity rate</w:t>
      </w:r>
      <w:r w:rsidR="00206006">
        <w:t xml:space="preserve"> has increased to</w:t>
      </w:r>
      <w:r w:rsidRPr="00F37D1E">
        <w:t xml:space="preserve"> </w:t>
      </w:r>
      <w:r w:rsidR="002B4EDA">
        <w:t>3.06</w:t>
      </w:r>
      <w:r>
        <w:t>%</w:t>
      </w:r>
      <w:r w:rsidRPr="00F37D1E">
        <w:t xml:space="preserve"> which is determined by the </w:t>
      </w:r>
      <w:r w:rsidR="002B4EDA">
        <w:t>number of tests administered.  Over the past two weeks t</w:t>
      </w:r>
      <w:r w:rsidRPr="00F37D1E">
        <w:t xml:space="preserve">here were </w:t>
      </w:r>
      <w:r w:rsidR="002B4EDA">
        <w:t>850</w:t>
      </w:r>
      <w:r w:rsidRPr="00F37D1E">
        <w:t xml:space="preserve"> tests administered</w:t>
      </w:r>
      <w:r w:rsidR="00206006">
        <w:t>,</w:t>
      </w:r>
      <w:r w:rsidRPr="00F37D1E">
        <w:t xml:space="preserve"> and </w:t>
      </w:r>
      <w:r w:rsidR="002B4EDA">
        <w:rPr>
          <w:color w:val="auto"/>
        </w:rPr>
        <w:t>26</w:t>
      </w:r>
      <w:r w:rsidR="00206006">
        <w:rPr>
          <w:color w:val="auto"/>
        </w:rPr>
        <w:t xml:space="preserve"> </w:t>
      </w:r>
      <w:r w:rsidRPr="00F37D1E">
        <w:rPr>
          <w:color w:val="auto"/>
        </w:rPr>
        <w:t xml:space="preserve">tests were positive. </w:t>
      </w:r>
      <w:r>
        <w:rPr>
          <w:color w:val="auto"/>
        </w:rPr>
        <w:t>We have been designated as “</w:t>
      </w:r>
      <w:r w:rsidR="00206006">
        <w:rPr>
          <w:color w:val="auto"/>
        </w:rPr>
        <w:t>Yellow</w:t>
      </w:r>
      <w:r w:rsidR="002B4EDA">
        <w:rPr>
          <w:color w:val="auto"/>
        </w:rPr>
        <w:t xml:space="preserve">”, </w:t>
      </w:r>
      <w:r>
        <w:rPr>
          <w:color w:val="auto"/>
        </w:rPr>
        <w:t xml:space="preserve">which indicates we have </w:t>
      </w:r>
      <w:r w:rsidR="00206006">
        <w:rPr>
          <w:color w:val="auto"/>
        </w:rPr>
        <w:t xml:space="preserve">10 or more averages cases per 100,000 people, or a greater than 5% positivity rate. </w:t>
      </w:r>
    </w:p>
    <w:p w:rsidR="00BC12E9" w:rsidRDefault="00BC12E9" w:rsidP="004259F9">
      <w:pPr>
        <w:pStyle w:val="Default"/>
        <w:jc w:val="both"/>
        <w:rPr>
          <w:color w:val="0070C0"/>
        </w:rPr>
      </w:pPr>
    </w:p>
    <w:p w:rsidR="00BC12E9" w:rsidRDefault="00BC12E9" w:rsidP="004259F9">
      <w:pPr>
        <w:pStyle w:val="Default"/>
        <w:jc w:val="both"/>
        <w:rPr>
          <w:color w:val="0070C0"/>
        </w:rPr>
      </w:pPr>
      <w:r w:rsidRPr="00F37D1E">
        <w:rPr>
          <w:color w:val="0070C0"/>
        </w:rPr>
        <w:t>VACCINE UPDATE</w:t>
      </w:r>
    </w:p>
    <w:p w:rsidR="00BC12E9" w:rsidRPr="00F37D1E" w:rsidRDefault="00BC12E9" w:rsidP="004259F9">
      <w:pPr>
        <w:pStyle w:val="Default"/>
        <w:jc w:val="both"/>
        <w:rPr>
          <w:color w:val="0070C0"/>
        </w:rPr>
      </w:pPr>
    </w:p>
    <w:p w:rsidR="00206006" w:rsidRDefault="00206006" w:rsidP="004259F9">
      <w:r>
        <w:t>Newly Eligible for Vaccine as of March 22, 2021:</w:t>
      </w:r>
    </w:p>
    <w:p w:rsidR="00206006" w:rsidRDefault="00206006" w:rsidP="004259F9"/>
    <w:p w:rsidR="00206006" w:rsidRPr="005C37C8" w:rsidRDefault="00206006" w:rsidP="004259F9">
      <w:pPr>
        <w:pStyle w:val="ListParagraph"/>
        <w:numPr>
          <w:ilvl w:val="0"/>
          <w:numId w:val="5"/>
        </w:numPr>
        <w:spacing w:after="0" w:line="240" w:lineRule="auto"/>
        <w:ind w:firstLine="0"/>
        <w:rPr>
          <w:rFonts w:ascii="Times New Roman" w:hAnsi="Times New Roman" w:cs="Times New Roman"/>
          <w:sz w:val="24"/>
          <w:szCs w:val="24"/>
        </w:rPr>
      </w:pPr>
      <w:r w:rsidRPr="005C37C8">
        <w:rPr>
          <w:rFonts w:ascii="Times New Roman" w:hAnsi="Times New Roman" w:cs="Times New Roman"/>
          <w:sz w:val="24"/>
          <w:szCs w:val="24"/>
        </w:rPr>
        <w:t>People who are 60 years or older</w:t>
      </w:r>
    </w:p>
    <w:p w:rsidR="00206006" w:rsidRPr="005C37C8" w:rsidRDefault="00206006" w:rsidP="004259F9">
      <w:pPr>
        <w:pStyle w:val="ListParagraph"/>
        <w:numPr>
          <w:ilvl w:val="0"/>
          <w:numId w:val="5"/>
        </w:numPr>
        <w:spacing w:after="0" w:line="240" w:lineRule="auto"/>
        <w:ind w:firstLine="0"/>
        <w:rPr>
          <w:rFonts w:ascii="Times New Roman" w:hAnsi="Times New Roman" w:cs="Times New Roman"/>
          <w:sz w:val="24"/>
          <w:szCs w:val="24"/>
        </w:rPr>
      </w:pPr>
      <w:r w:rsidRPr="005C37C8">
        <w:rPr>
          <w:rFonts w:ascii="Times New Roman" w:hAnsi="Times New Roman" w:cs="Times New Roman"/>
          <w:sz w:val="24"/>
          <w:szCs w:val="24"/>
        </w:rPr>
        <w:t>Certain Workers</w:t>
      </w:r>
    </w:p>
    <w:p w:rsidR="00206006" w:rsidRDefault="00206006" w:rsidP="004259F9">
      <w:pPr>
        <w:pStyle w:val="ListParagraph"/>
        <w:numPr>
          <w:ilvl w:val="1"/>
          <w:numId w:val="5"/>
        </w:numPr>
        <w:spacing w:after="0" w:line="240" w:lineRule="auto"/>
        <w:ind w:firstLine="0"/>
        <w:rPr>
          <w:rFonts w:ascii="Times New Roman" w:hAnsi="Times New Roman" w:cs="Times New Roman"/>
          <w:sz w:val="24"/>
          <w:szCs w:val="24"/>
        </w:rPr>
      </w:pPr>
      <w:r w:rsidRPr="005C37C8">
        <w:rPr>
          <w:rFonts w:ascii="Times New Roman" w:hAnsi="Times New Roman" w:cs="Times New Roman"/>
          <w:sz w:val="24"/>
          <w:szCs w:val="24"/>
        </w:rPr>
        <w:t xml:space="preserve">Restaurant or cafe workers, </w:t>
      </w:r>
      <w:r w:rsidR="00AA094C">
        <w:rPr>
          <w:rFonts w:ascii="Times New Roman" w:hAnsi="Times New Roman" w:cs="Times New Roman"/>
          <w:sz w:val="24"/>
          <w:szCs w:val="24"/>
        </w:rPr>
        <w:t>f</w:t>
      </w:r>
      <w:r w:rsidRPr="005C37C8">
        <w:rPr>
          <w:rFonts w:ascii="Times New Roman" w:hAnsi="Times New Roman" w:cs="Times New Roman"/>
          <w:sz w:val="24"/>
          <w:szCs w:val="24"/>
        </w:rPr>
        <w:t>ood</w:t>
      </w:r>
      <w:r w:rsidR="00AA094C">
        <w:rPr>
          <w:rFonts w:ascii="Times New Roman" w:hAnsi="Times New Roman" w:cs="Times New Roman"/>
          <w:sz w:val="24"/>
          <w:szCs w:val="24"/>
        </w:rPr>
        <w:t xml:space="preserve"> workers</w:t>
      </w:r>
      <w:r w:rsidRPr="005C37C8">
        <w:rPr>
          <w:rFonts w:ascii="Times New Roman" w:hAnsi="Times New Roman" w:cs="Times New Roman"/>
          <w:sz w:val="24"/>
          <w:szCs w:val="24"/>
        </w:rPr>
        <w:t xml:space="preserve">, meatpacking, beverage, agriculture, consumer goods, retail, or food service workers, </w:t>
      </w:r>
      <w:r w:rsidR="00AA094C">
        <w:rPr>
          <w:rFonts w:ascii="Times New Roman" w:hAnsi="Times New Roman" w:cs="Times New Roman"/>
          <w:sz w:val="24"/>
          <w:szCs w:val="24"/>
        </w:rPr>
        <w:t>g</w:t>
      </w:r>
      <w:r w:rsidRPr="005C37C8">
        <w:rPr>
          <w:rFonts w:ascii="Times New Roman" w:hAnsi="Times New Roman" w:cs="Times New Roman"/>
          <w:sz w:val="24"/>
          <w:szCs w:val="24"/>
        </w:rPr>
        <w:t xml:space="preserve">rocery and convenience store workers, </w:t>
      </w:r>
      <w:r w:rsidR="00AA094C">
        <w:rPr>
          <w:rFonts w:ascii="Times New Roman" w:hAnsi="Times New Roman" w:cs="Times New Roman"/>
          <w:sz w:val="24"/>
          <w:szCs w:val="24"/>
        </w:rPr>
        <w:t>f</w:t>
      </w:r>
      <w:r w:rsidRPr="005C37C8">
        <w:rPr>
          <w:rFonts w:ascii="Times New Roman" w:hAnsi="Times New Roman" w:cs="Times New Roman"/>
          <w:sz w:val="24"/>
          <w:szCs w:val="24"/>
        </w:rPr>
        <w:t>ood</w:t>
      </w:r>
      <w:r w:rsidR="00AA094C">
        <w:rPr>
          <w:rFonts w:ascii="Times New Roman" w:hAnsi="Times New Roman" w:cs="Times New Roman"/>
          <w:sz w:val="24"/>
          <w:szCs w:val="24"/>
        </w:rPr>
        <w:t xml:space="preserve"> pantry workers or volunteers, m</w:t>
      </w:r>
      <w:r w:rsidRPr="005C37C8">
        <w:rPr>
          <w:rFonts w:ascii="Times New Roman" w:hAnsi="Times New Roman" w:cs="Times New Roman"/>
          <w:sz w:val="24"/>
          <w:szCs w:val="24"/>
        </w:rPr>
        <w:t xml:space="preserve">edical supply chain workers, </w:t>
      </w:r>
      <w:r w:rsidR="00AA094C">
        <w:rPr>
          <w:rFonts w:ascii="Times New Roman" w:hAnsi="Times New Roman" w:cs="Times New Roman"/>
          <w:sz w:val="24"/>
          <w:szCs w:val="24"/>
        </w:rPr>
        <w:t>v</w:t>
      </w:r>
      <w:r w:rsidRPr="005C37C8">
        <w:rPr>
          <w:rFonts w:ascii="Times New Roman" w:hAnsi="Times New Roman" w:cs="Times New Roman"/>
          <w:sz w:val="24"/>
          <w:szCs w:val="24"/>
        </w:rPr>
        <w:t xml:space="preserve">accine development workers, </w:t>
      </w:r>
      <w:r w:rsidR="00AA094C">
        <w:rPr>
          <w:rFonts w:ascii="Times New Roman" w:hAnsi="Times New Roman" w:cs="Times New Roman"/>
          <w:sz w:val="24"/>
          <w:szCs w:val="24"/>
        </w:rPr>
        <w:t>t</w:t>
      </w:r>
      <w:r w:rsidRPr="005C37C8">
        <w:rPr>
          <w:rFonts w:ascii="Times New Roman" w:hAnsi="Times New Roman" w:cs="Times New Roman"/>
          <w:sz w:val="24"/>
          <w:szCs w:val="24"/>
        </w:rPr>
        <w:t xml:space="preserve">ransit/transportation workers, </w:t>
      </w:r>
      <w:r w:rsidR="00AA094C">
        <w:rPr>
          <w:rFonts w:ascii="Times New Roman" w:hAnsi="Times New Roman" w:cs="Times New Roman"/>
          <w:sz w:val="24"/>
          <w:szCs w:val="24"/>
        </w:rPr>
        <w:t>p</w:t>
      </w:r>
      <w:r w:rsidRPr="005C37C8">
        <w:rPr>
          <w:rFonts w:ascii="Times New Roman" w:hAnsi="Times New Roman" w:cs="Times New Roman"/>
          <w:sz w:val="24"/>
          <w:szCs w:val="24"/>
        </w:rPr>
        <w:t xml:space="preserve">ublic works, water, wastewater, or utility workers, </w:t>
      </w:r>
      <w:r w:rsidR="00AA094C">
        <w:rPr>
          <w:rFonts w:ascii="Times New Roman" w:hAnsi="Times New Roman" w:cs="Times New Roman"/>
          <w:sz w:val="24"/>
          <w:szCs w:val="24"/>
        </w:rPr>
        <w:t>s</w:t>
      </w:r>
      <w:r w:rsidRPr="005C37C8">
        <w:rPr>
          <w:rFonts w:ascii="Times New Roman" w:hAnsi="Times New Roman" w:cs="Times New Roman"/>
          <w:sz w:val="24"/>
          <w:szCs w:val="24"/>
        </w:rPr>
        <w:t xml:space="preserve">anitation workers, </w:t>
      </w:r>
      <w:r w:rsidR="00AA094C">
        <w:rPr>
          <w:rFonts w:ascii="Times New Roman" w:hAnsi="Times New Roman" w:cs="Times New Roman"/>
          <w:sz w:val="24"/>
          <w:szCs w:val="24"/>
        </w:rPr>
        <w:t>p</w:t>
      </w:r>
      <w:r w:rsidRPr="005C37C8">
        <w:rPr>
          <w:rFonts w:ascii="Times New Roman" w:hAnsi="Times New Roman" w:cs="Times New Roman"/>
          <w:sz w:val="24"/>
          <w:szCs w:val="24"/>
        </w:rPr>
        <w:t xml:space="preserve">ublic health workers, </w:t>
      </w:r>
      <w:r w:rsidR="00AA094C">
        <w:rPr>
          <w:rFonts w:ascii="Times New Roman" w:hAnsi="Times New Roman" w:cs="Times New Roman"/>
          <w:sz w:val="24"/>
          <w:szCs w:val="24"/>
        </w:rPr>
        <w:t>c</w:t>
      </w:r>
      <w:r w:rsidRPr="005C37C8">
        <w:rPr>
          <w:rFonts w:ascii="Times New Roman" w:hAnsi="Times New Roman" w:cs="Times New Roman"/>
          <w:sz w:val="24"/>
          <w:szCs w:val="24"/>
        </w:rPr>
        <w:t xml:space="preserve">ourt system workers, </w:t>
      </w:r>
      <w:r w:rsidR="00AA094C">
        <w:rPr>
          <w:rFonts w:ascii="Times New Roman" w:hAnsi="Times New Roman" w:cs="Times New Roman"/>
          <w:sz w:val="24"/>
          <w:szCs w:val="24"/>
        </w:rPr>
        <w:t>f</w:t>
      </w:r>
      <w:r w:rsidRPr="005C37C8">
        <w:rPr>
          <w:rFonts w:ascii="Times New Roman" w:hAnsi="Times New Roman" w:cs="Times New Roman"/>
          <w:sz w:val="24"/>
          <w:szCs w:val="24"/>
        </w:rPr>
        <w:t>uneral directors and  funeral workers.</w:t>
      </w:r>
      <w:r w:rsidR="00AA094C">
        <w:rPr>
          <w:rFonts w:ascii="Times New Roman" w:hAnsi="Times New Roman" w:cs="Times New Roman"/>
          <w:sz w:val="24"/>
          <w:szCs w:val="24"/>
        </w:rPr>
        <w:t xml:space="preserve"> </w:t>
      </w:r>
      <w:hyperlink r:id="rId10" w:history="1">
        <w:r w:rsidR="00AA094C" w:rsidRPr="002E36B3">
          <w:rPr>
            <w:rStyle w:val="Hyperlink"/>
            <w:rFonts w:ascii="Times New Roman" w:hAnsi="Times New Roman" w:cs="Times New Roman"/>
            <w:sz w:val="24"/>
            <w:szCs w:val="24"/>
          </w:rPr>
          <w:t>https://www.mass.gov/info-details/covid-19-vaccinations-for-certain-workers</w:t>
        </w:r>
      </w:hyperlink>
    </w:p>
    <w:p w:rsidR="00206006" w:rsidRPr="005C37C8" w:rsidRDefault="00206006" w:rsidP="004259F9">
      <w:pPr>
        <w:pStyle w:val="ListParagraph"/>
        <w:spacing w:after="0" w:line="240" w:lineRule="auto"/>
        <w:ind w:left="1440"/>
        <w:rPr>
          <w:rFonts w:ascii="Times New Roman" w:hAnsi="Times New Roman" w:cs="Times New Roman"/>
          <w:sz w:val="24"/>
          <w:szCs w:val="24"/>
        </w:rPr>
      </w:pPr>
    </w:p>
    <w:p w:rsidR="00206006" w:rsidRDefault="00206006" w:rsidP="004259F9">
      <w:r>
        <w:t>Eligible as of April 5, 2021:</w:t>
      </w:r>
    </w:p>
    <w:p w:rsidR="00206006" w:rsidRPr="005C37C8" w:rsidRDefault="00206006" w:rsidP="004259F9">
      <w:pPr>
        <w:pStyle w:val="ListParagraph"/>
        <w:numPr>
          <w:ilvl w:val="0"/>
          <w:numId w:val="4"/>
        </w:numPr>
        <w:spacing w:after="0" w:line="240" w:lineRule="auto"/>
        <w:ind w:firstLine="0"/>
        <w:rPr>
          <w:rFonts w:ascii="Times New Roman" w:hAnsi="Times New Roman" w:cs="Times New Roman"/>
          <w:sz w:val="24"/>
          <w:szCs w:val="24"/>
        </w:rPr>
      </w:pPr>
      <w:r w:rsidRPr="005C37C8">
        <w:rPr>
          <w:rFonts w:ascii="Times New Roman" w:hAnsi="Times New Roman" w:cs="Times New Roman"/>
          <w:sz w:val="24"/>
          <w:szCs w:val="24"/>
        </w:rPr>
        <w:t>People who are 55 years or older</w:t>
      </w:r>
    </w:p>
    <w:p w:rsidR="00206006" w:rsidRPr="005C37C8" w:rsidRDefault="00AA094C" w:rsidP="004259F9">
      <w:pPr>
        <w:pStyle w:val="ListParagraph"/>
        <w:numPr>
          <w:ilvl w:val="0"/>
          <w:numId w:val="4"/>
        </w:num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People with 1</w:t>
      </w:r>
      <w:r w:rsidR="00206006" w:rsidRPr="005C37C8">
        <w:rPr>
          <w:rFonts w:ascii="Times New Roman" w:hAnsi="Times New Roman" w:cs="Times New Roman"/>
          <w:sz w:val="24"/>
          <w:szCs w:val="24"/>
        </w:rPr>
        <w:t xml:space="preserve"> certain medical condition</w:t>
      </w:r>
    </w:p>
    <w:p w:rsidR="00206006" w:rsidRPr="003D5AB6" w:rsidRDefault="00206006" w:rsidP="003D5AB6">
      <w:pPr>
        <w:pStyle w:val="ListParagraph"/>
        <w:numPr>
          <w:ilvl w:val="1"/>
          <w:numId w:val="4"/>
        </w:numPr>
        <w:rPr>
          <w:rFonts w:ascii="Times New Roman" w:hAnsi="Times New Roman" w:cs="Times New Roman"/>
          <w:sz w:val="24"/>
          <w:szCs w:val="24"/>
        </w:rPr>
      </w:pPr>
      <w:r w:rsidRPr="003D5AB6">
        <w:rPr>
          <w:rFonts w:ascii="Times New Roman" w:hAnsi="Times New Roman" w:cs="Times New Roman"/>
          <w:sz w:val="24"/>
          <w:szCs w:val="24"/>
        </w:rPr>
        <w:t xml:space="preserve">Asthma, Cancer, Chronic Kidney Disease, COPD, Down </w:t>
      </w:r>
      <w:proofErr w:type="gramStart"/>
      <w:r w:rsidRPr="003D5AB6">
        <w:rPr>
          <w:rFonts w:ascii="Times New Roman" w:hAnsi="Times New Roman" w:cs="Times New Roman"/>
          <w:sz w:val="24"/>
          <w:szCs w:val="24"/>
        </w:rPr>
        <w:t>Syndrome</w:t>
      </w:r>
      <w:proofErr w:type="gramEnd"/>
      <w:r w:rsidRPr="003D5AB6">
        <w:rPr>
          <w:rFonts w:ascii="Times New Roman" w:hAnsi="Times New Roman" w:cs="Times New Roman"/>
          <w:sz w:val="24"/>
          <w:szCs w:val="24"/>
        </w:rPr>
        <w:t xml:space="preserve">, Heart Conditions, Immunocompromised State, Obesity and Severe Obesity, Pregnancy, Sickle Cell Disease, Smoking, Type 2 Diabetes. </w:t>
      </w:r>
    </w:p>
    <w:p w:rsidR="00206006" w:rsidRDefault="00206006" w:rsidP="004259F9">
      <w:pPr>
        <w:pStyle w:val="ListParagraph"/>
        <w:spacing w:after="0" w:line="240" w:lineRule="auto"/>
        <w:ind w:left="1440"/>
        <w:rPr>
          <w:rFonts w:ascii="Times New Roman" w:hAnsi="Times New Roman" w:cs="Times New Roman"/>
          <w:sz w:val="24"/>
          <w:szCs w:val="24"/>
        </w:rPr>
      </w:pPr>
    </w:p>
    <w:p w:rsidR="00206006" w:rsidRDefault="00206006" w:rsidP="004259F9">
      <w:r>
        <w:t>Eligible as of April 19, 2021:</w:t>
      </w:r>
    </w:p>
    <w:p w:rsidR="00206006" w:rsidRDefault="00206006" w:rsidP="004259F9">
      <w:pPr>
        <w:pStyle w:val="ListParagraph"/>
        <w:numPr>
          <w:ilvl w:val="0"/>
          <w:numId w:val="6"/>
        </w:num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If your group is not specifically listed in either Phase 1 or Phase 2, you will be eligible to receive the vaccine in Phase 3, which will launch April 19, 2021.</w:t>
      </w:r>
    </w:p>
    <w:p w:rsidR="00AA094C" w:rsidRDefault="00AA094C" w:rsidP="004259F9"/>
    <w:p w:rsidR="00362585" w:rsidRDefault="00362585" w:rsidP="004259F9"/>
    <w:p w:rsidR="00362585" w:rsidRDefault="00362585" w:rsidP="004259F9"/>
    <w:p w:rsidR="00362585" w:rsidRDefault="00362585" w:rsidP="004259F9"/>
    <w:p w:rsidR="00AA094C" w:rsidRDefault="00AA094C" w:rsidP="004259F9">
      <w:r w:rsidRPr="00AA094C">
        <w:lastRenderedPageBreak/>
        <w:t xml:space="preserve">Currently Eligible </w:t>
      </w:r>
      <w:r>
        <w:t xml:space="preserve">Complete </w:t>
      </w:r>
      <w:r w:rsidRPr="00AA094C">
        <w:t>List:</w:t>
      </w:r>
    </w:p>
    <w:p w:rsidR="00362585" w:rsidRPr="00AA094C" w:rsidRDefault="00362585" w:rsidP="004259F9"/>
    <w:p w:rsidR="00AA094C" w:rsidRPr="00AA094C" w:rsidRDefault="00AA094C" w:rsidP="004259F9">
      <w:r w:rsidRPr="00AA094C">
        <w:t>Phase 1 listed in order of priority:</w:t>
      </w:r>
    </w:p>
    <w:p w:rsidR="00AA094C" w:rsidRPr="00AA094C" w:rsidRDefault="00AA094C" w:rsidP="004259F9">
      <w:pPr>
        <w:pStyle w:val="ListParagraph"/>
        <w:numPr>
          <w:ilvl w:val="0"/>
          <w:numId w:val="6"/>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Clinical and non-clinical health care workers doing direct and COVID-facing care</w:t>
      </w:r>
    </w:p>
    <w:p w:rsidR="00AA094C" w:rsidRPr="00AA094C" w:rsidRDefault="00AA094C" w:rsidP="004259F9">
      <w:pPr>
        <w:pStyle w:val="ListParagraph"/>
        <w:numPr>
          <w:ilvl w:val="0"/>
          <w:numId w:val="6"/>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Long term care facilities, rest homes and assisted living facilities</w:t>
      </w:r>
    </w:p>
    <w:p w:rsidR="00AA094C" w:rsidRPr="00AA094C" w:rsidRDefault="00AA094C" w:rsidP="004259F9">
      <w:pPr>
        <w:pStyle w:val="ListParagraph"/>
        <w:numPr>
          <w:ilvl w:val="0"/>
          <w:numId w:val="6"/>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 xml:space="preserve">First responders </w:t>
      </w:r>
    </w:p>
    <w:p w:rsidR="00AA094C" w:rsidRPr="00AA094C" w:rsidRDefault="00AA094C" w:rsidP="004259F9">
      <w:pPr>
        <w:pStyle w:val="ListParagraph"/>
        <w:numPr>
          <w:ilvl w:val="0"/>
          <w:numId w:val="6"/>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Congregate care settings</w:t>
      </w:r>
    </w:p>
    <w:p w:rsidR="00AA094C" w:rsidRPr="00AA094C" w:rsidRDefault="00AA094C" w:rsidP="004259F9">
      <w:pPr>
        <w:pStyle w:val="ListParagraph"/>
        <w:numPr>
          <w:ilvl w:val="0"/>
          <w:numId w:val="6"/>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Home-based health care workers</w:t>
      </w:r>
    </w:p>
    <w:p w:rsidR="00AA094C" w:rsidRDefault="00AA094C" w:rsidP="004259F9">
      <w:pPr>
        <w:pStyle w:val="ListParagraph"/>
        <w:numPr>
          <w:ilvl w:val="0"/>
          <w:numId w:val="6"/>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Health care workers doing non-COVID-facing care</w:t>
      </w:r>
    </w:p>
    <w:p w:rsidR="00362585" w:rsidRPr="00AA094C" w:rsidRDefault="00362585" w:rsidP="00362585">
      <w:pPr>
        <w:pStyle w:val="ListParagraph"/>
        <w:spacing w:after="0" w:line="240" w:lineRule="auto"/>
        <w:rPr>
          <w:rFonts w:ascii="Times New Roman" w:hAnsi="Times New Roman" w:cs="Times New Roman"/>
          <w:sz w:val="24"/>
          <w:szCs w:val="24"/>
        </w:rPr>
      </w:pPr>
    </w:p>
    <w:p w:rsidR="00AA094C" w:rsidRPr="00AA094C" w:rsidRDefault="00AA094C" w:rsidP="004259F9">
      <w:r w:rsidRPr="00AA094C">
        <w:t>Phase 2 listed in order of priority:</w:t>
      </w:r>
    </w:p>
    <w:p w:rsidR="00AA094C" w:rsidRPr="00AA094C" w:rsidRDefault="00AA094C" w:rsidP="004259F9">
      <w:pPr>
        <w:pStyle w:val="ListParagraph"/>
        <w:numPr>
          <w:ilvl w:val="0"/>
          <w:numId w:val="7"/>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People who are 75 or older</w:t>
      </w:r>
    </w:p>
    <w:p w:rsidR="00AA094C" w:rsidRPr="00AA094C" w:rsidRDefault="00AA094C" w:rsidP="004259F9">
      <w:pPr>
        <w:pStyle w:val="ListParagraph"/>
        <w:numPr>
          <w:ilvl w:val="0"/>
          <w:numId w:val="7"/>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People who are 60 or older</w:t>
      </w:r>
    </w:p>
    <w:p w:rsidR="00AA094C" w:rsidRPr="00AA094C" w:rsidRDefault="00AA094C" w:rsidP="004259F9">
      <w:pPr>
        <w:pStyle w:val="ListParagraph"/>
        <w:numPr>
          <w:ilvl w:val="0"/>
          <w:numId w:val="7"/>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People with 2 or more certain medical conditions</w:t>
      </w:r>
    </w:p>
    <w:p w:rsidR="00AA094C" w:rsidRPr="00AA094C" w:rsidRDefault="00AA094C" w:rsidP="004259F9">
      <w:pPr>
        <w:pStyle w:val="ListParagraph"/>
        <w:numPr>
          <w:ilvl w:val="0"/>
          <w:numId w:val="7"/>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People who live or work in low income and affordable senior housing</w:t>
      </w:r>
    </w:p>
    <w:p w:rsidR="00AA094C" w:rsidRPr="00AA094C" w:rsidRDefault="00AA094C" w:rsidP="004259F9">
      <w:pPr>
        <w:pStyle w:val="ListParagraph"/>
        <w:numPr>
          <w:ilvl w:val="0"/>
          <w:numId w:val="7"/>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K-12 educators, K-12 school staff, and child care workers</w:t>
      </w:r>
    </w:p>
    <w:p w:rsidR="00AA094C" w:rsidRPr="00AA094C" w:rsidRDefault="00AA094C" w:rsidP="004259F9">
      <w:pPr>
        <w:pStyle w:val="ListParagraph"/>
        <w:numPr>
          <w:ilvl w:val="0"/>
          <w:numId w:val="7"/>
        </w:numPr>
        <w:spacing w:after="0" w:line="240" w:lineRule="auto"/>
        <w:ind w:firstLine="0"/>
        <w:rPr>
          <w:rFonts w:ascii="Times New Roman" w:hAnsi="Times New Roman" w:cs="Times New Roman"/>
          <w:sz w:val="24"/>
          <w:szCs w:val="24"/>
        </w:rPr>
      </w:pPr>
      <w:r w:rsidRPr="00AA094C">
        <w:rPr>
          <w:rFonts w:ascii="Times New Roman" w:hAnsi="Times New Roman" w:cs="Times New Roman"/>
          <w:sz w:val="24"/>
          <w:szCs w:val="24"/>
        </w:rPr>
        <w:t>Certain workers</w:t>
      </w:r>
    </w:p>
    <w:p w:rsidR="00206006" w:rsidRPr="005C37C8" w:rsidRDefault="00206006" w:rsidP="004259F9">
      <w:pPr>
        <w:pStyle w:val="ListParagraph"/>
        <w:spacing w:after="0" w:line="240" w:lineRule="auto"/>
        <w:rPr>
          <w:rFonts w:ascii="Times New Roman" w:hAnsi="Times New Roman" w:cs="Times New Roman"/>
          <w:sz w:val="24"/>
          <w:szCs w:val="24"/>
        </w:rPr>
      </w:pPr>
    </w:p>
    <w:p w:rsidR="00206006" w:rsidRPr="005C37C8" w:rsidRDefault="00206006" w:rsidP="004259F9">
      <w:pPr>
        <w:rPr>
          <w:color w:val="141414"/>
        </w:rPr>
      </w:pPr>
      <w:r w:rsidRPr="005C37C8">
        <w:rPr>
          <w:color w:val="141414"/>
        </w:rPr>
        <w:t>There are different ways to find a vaccine appointment if you're eligible:</w:t>
      </w:r>
    </w:p>
    <w:p w:rsidR="00206006" w:rsidRPr="005C37C8" w:rsidRDefault="00206006" w:rsidP="004259F9">
      <w:pPr>
        <w:pStyle w:val="ListParagraph"/>
        <w:numPr>
          <w:ilvl w:val="0"/>
          <w:numId w:val="3"/>
        </w:numPr>
        <w:spacing w:after="0" w:line="240" w:lineRule="auto"/>
        <w:ind w:firstLine="0"/>
        <w:rPr>
          <w:rFonts w:ascii="Times New Roman" w:eastAsia="Times New Roman" w:hAnsi="Times New Roman" w:cs="Times New Roman"/>
          <w:color w:val="141414"/>
          <w:sz w:val="24"/>
          <w:szCs w:val="24"/>
        </w:rPr>
      </w:pPr>
      <w:r w:rsidRPr="005C37C8">
        <w:rPr>
          <w:rFonts w:ascii="Times New Roman" w:eastAsia="Times New Roman" w:hAnsi="Times New Roman" w:cs="Times New Roman"/>
          <w:color w:val="141414"/>
          <w:sz w:val="24"/>
          <w:szCs w:val="24"/>
        </w:rPr>
        <w:t>Preregister at </w:t>
      </w:r>
      <w:hyperlink r:id="rId11" w:anchor="/" w:history="1">
        <w:r w:rsidRPr="005C37C8">
          <w:rPr>
            <w:rFonts w:ascii="Times New Roman" w:eastAsia="Times New Roman" w:hAnsi="Times New Roman" w:cs="Times New Roman"/>
            <w:color w:val="14558F"/>
            <w:sz w:val="24"/>
            <w:szCs w:val="24"/>
          </w:rPr>
          <w:t>VaccineSignUp.mass.gov</w:t>
        </w:r>
      </w:hyperlink>
      <w:r w:rsidRPr="005C37C8">
        <w:rPr>
          <w:rFonts w:ascii="Times New Roman" w:eastAsia="Times New Roman" w:hAnsi="Times New Roman" w:cs="Times New Roman"/>
          <w:color w:val="141414"/>
          <w:sz w:val="24"/>
          <w:szCs w:val="24"/>
        </w:rPr>
        <w:t> to be notified when it's your turn to schedule an appointment at one</w:t>
      </w:r>
      <w:r w:rsidRPr="005C37C8">
        <w:rPr>
          <w:rFonts w:ascii="Times New Roman" w:eastAsia="Times New Roman" w:hAnsi="Times New Roman" w:cs="Times New Roman"/>
          <w:b/>
          <w:bCs/>
          <w:color w:val="141414"/>
          <w:sz w:val="24"/>
          <w:szCs w:val="24"/>
        </w:rPr>
        <w:t> </w:t>
      </w:r>
      <w:r w:rsidRPr="005C37C8">
        <w:rPr>
          <w:rFonts w:ascii="Times New Roman" w:eastAsia="Times New Roman" w:hAnsi="Times New Roman" w:cs="Times New Roman"/>
          <w:color w:val="141414"/>
          <w:sz w:val="24"/>
          <w:szCs w:val="24"/>
        </w:rPr>
        <w:t>of </w:t>
      </w:r>
      <w:r w:rsidRPr="005C37C8">
        <w:rPr>
          <w:rFonts w:ascii="Times New Roman" w:eastAsia="Times New Roman" w:hAnsi="Times New Roman" w:cs="Times New Roman"/>
          <w:b/>
          <w:bCs/>
          <w:color w:val="141414"/>
          <w:sz w:val="24"/>
          <w:szCs w:val="24"/>
        </w:rPr>
        <w:t>7 mass vaccination locations</w:t>
      </w:r>
      <w:r w:rsidRPr="005C37C8">
        <w:rPr>
          <w:rFonts w:ascii="Times New Roman" w:eastAsia="Times New Roman" w:hAnsi="Times New Roman" w:cs="Times New Roman"/>
          <w:color w:val="141414"/>
          <w:sz w:val="24"/>
          <w:szCs w:val="24"/>
        </w:rPr>
        <w:t xml:space="preserve">: Fenway Park, Gillette Stadium, Reggie Lewis Center, </w:t>
      </w:r>
      <w:proofErr w:type="spellStart"/>
      <w:proofErr w:type="gramStart"/>
      <w:r w:rsidRPr="005C37C8">
        <w:rPr>
          <w:rFonts w:ascii="Times New Roman" w:eastAsia="Times New Roman" w:hAnsi="Times New Roman" w:cs="Times New Roman"/>
          <w:color w:val="141414"/>
          <w:sz w:val="24"/>
          <w:szCs w:val="24"/>
        </w:rPr>
        <w:t>DoubleTree</w:t>
      </w:r>
      <w:proofErr w:type="spellEnd"/>
      <w:proofErr w:type="gramEnd"/>
      <w:r w:rsidRPr="005C37C8">
        <w:rPr>
          <w:rFonts w:ascii="Times New Roman" w:eastAsia="Times New Roman" w:hAnsi="Times New Roman" w:cs="Times New Roman"/>
          <w:color w:val="141414"/>
          <w:sz w:val="24"/>
          <w:szCs w:val="24"/>
        </w:rPr>
        <w:t xml:space="preserve"> Hotel in Danvers, Eastfield Mall in Springfield, Natick Mall and former Circuit City in Dartmouth.</w:t>
      </w:r>
    </w:p>
    <w:p w:rsidR="00206006" w:rsidRPr="005C37C8" w:rsidRDefault="00206006" w:rsidP="004259F9">
      <w:pPr>
        <w:pStyle w:val="ListParagraph"/>
        <w:numPr>
          <w:ilvl w:val="0"/>
          <w:numId w:val="3"/>
        </w:numPr>
        <w:spacing w:after="0" w:line="240" w:lineRule="auto"/>
        <w:ind w:firstLine="0"/>
        <w:rPr>
          <w:rFonts w:ascii="Times New Roman" w:eastAsia="Times New Roman" w:hAnsi="Times New Roman" w:cs="Times New Roman"/>
          <w:color w:val="141414"/>
          <w:sz w:val="24"/>
          <w:szCs w:val="24"/>
        </w:rPr>
      </w:pPr>
      <w:r w:rsidRPr="005C37C8">
        <w:rPr>
          <w:rFonts w:ascii="Times New Roman" w:eastAsia="Times New Roman" w:hAnsi="Times New Roman" w:cs="Times New Roman"/>
          <w:color w:val="141414"/>
          <w:sz w:val="24"/>
          <w:szCs w:val="24"/>
        </w:rPr>
        <w:t>Use </w:t>
      </w:r>
      <w:hyperlink r:id="rId12" w:history="1">
        <w:r w:rsidRPr="005C37C8">
          <w:rPr>
            <w:rFonts w:ascii="Times New Roman" w:eastAsia="Times New Roman" w:hAnsi="Times New Roman" w:cs="Times New Roman"/>
            <w:color w:val="14558F"/>
            <w:sz w:val="24"/>
            <w:szCs w:val="24"/>
          </w:rPr>
          <w:t>VaxFinder.mass.gov</w:t>
        </w:r>
      </w:hyperlink>
      <w:r w:rsidRPr="005C37C8">
        <w:rPr>
          <w:rFonts w:ascii="Times New Roman" w:eastAsia="Times New Roman" w:hAnsi="Times New Roman" w:cs="Times New Roman"/>
          <w:color w:val="141414"/>
          <w:sz w:val="24"/>
          <w:szCs w:val="24"/>
        </w:rPr>
        <w:t> to search for appointments at pharmacies, health care providers, and other community locations</w:t>
      </w:r>
    </w:p>
    <w:p w:rsidR="00206006" w:rsidRDefault="00206006" w:rsidP="004259F9">
      <w:pPr>
        <w:rPr>
          <w:color w:val="141414"/>
        </w:rPr>
      </w:pPr>
    </w:p>
    <w:p w:rsidR="00206006" w:rsidRDefault="00206006" w:rsidP="004259F9">
      <w:pPr>
        <w:rPr>
          <w:color w:val="141414"/>
        </w:rPr>
      </w:pPr>
      <w:r w:rsidRPr="005C37C8">
        <w:rPr>
          <w:color w:val="141414"/>
        </w:rPr>
        <w:t>Massachusetts’ preregistration system makes it easier to request and schedule an appointment at one of the 7 mass vaccination locations. Eligible people can preregister for a COVID-19 vaccine appointment at mass vaccination locations only. More locations will be added to the system in April.</w:t>
      </w:r>
    </w:p>
    <w:p w:rsidR="00206006" w:rsidRPr="005C37C8" w:rsidRDefault="00206006" w:rsidP="004259F9">
      <w:pPr>
        <w:rPr>
          <w:color w:val="141414"/>
        </w:rPr>
      </w:pPr>
    </w:p>
    <w:p w:rsidR="00206006" w:rsidRDefault="00206006" w:rsidP="004259F9">
      <w:pPr>
        <w:rPr>
          <w:color w:val="141414"/>
        </w:rPr>
      </w:pPr>
      <w:r w:rsidRPr="005C37C8">
        <w:rPr>
          <w:color w:val="141414"/>
        </w:rPr>
        <w:t>Once you sign up for preregistration, you’ll receive weekly status updates. You can opt out at any time if you find an appointment elsewhere. Once an appointment is available, you’ll be contacted with the opportunity to book the appointment and have 24 hours to accept it.</w:t>
      </w:r>
    </w:p>
    <w:p w:rsidR="000C7542" w:rsidRPr="005C37C8" w:rsidRDefault="000C7542" w:rsidP="004259F9">
      <w:pPr>
        <w:rPr>
          <w:color w:val="141414"/>
        </w:rPr>
      </w:pPr>
    </w:p>
    <w:p w:rsidR="00206006" w:rsidRDefault="00206006" w:rsidP="004259F9">
      <w:pPr>
        <w:rPr>
          <w:color w:val="141414"/>
        </w:rPr>
      </w:pPr>
      <w:r w:rsidRPr="005C37C8">
        <w:rPr>
          <w:color w:val="141414"/>
        </w:rPr>
        <w:t>Massachusetts receives a limited supply of COVID-19 vaccine doses from the federal government each week. </w:t>
      </w:r>
      <w:r w:rsidRPr="005C37C8">
        <w:rPr>
          <w:b/>
          <w:bCs/>
          <w:color w:val="141414"/>
        </w:rPr>
        <w:t>Due to high demand and very limited supply, it may take several weeks to schedule an appointment or to be notified that an appointment is available at mass vaccination locations.</w:t>
      </w:r>
      <w:r w:rsidRPr="005C37C8">
        <w:rPr>
          <w:color w:val="141414"/>
        </w:rPr>
        <w:t> </w:t>
      </w:r>
    </w:p>
    <w:p w:rsidR="00206006" w:rsidRPr="005C37C8" w:rsidRDefault="00206006" w:rsidP="004259F9">
      <w:pPr>
        <w:rPr>
          <w:color w:val="141414"/>
        </w:rPr>
      </w:pPr>
    </w:p>
    <w:p w:rsidR="00206006" w:rsidRPr="005C37C8" w:rsidRDefault="00206006" w:rsidP="004259F9">
      <w:pPr>
        <w:rPr>
          <w:color w:val="141414"/>
        </w:rPr>
      </w:pPr>
      <w:r w:rsidRPr="005C37C8">
        <w:rPr>
          <w:color w:val="141414"/>
        </w:rPr>
        <w:t>Individuals 75 and older without access to the internet or who are unable to preregister or schedule their appointment online can call toll free </w:t>
      </w:r>
      <w:hyperlink r:id="rId13" w:history="1">
        <w:r w:rsidRPr="005C37C8">
          <w:rPr>
            <w:color w:val="14558F"/>
          </w:rPr>
          <w:t>2-1-1</w:t>
        </w:r>
      </w:hyperlink>
      <w:r w:rsidRPr="005C37C8">
        <w:rPr>
          <w:color w:val="141414"/>
        </w:rPr>
        <w:t> or </w:t>
      </w:r>
      <w:hyperlink r:id="rId14" w:history="1">
        <w:r w:rsidRPr="005C37C8">
          <w:rPr>
            <w:color w:val="14558F"/>
          </w:rPr>
          <w:t>(877) 211-6277</w:t>
        </w:r>
      </w:hyperlink>
      <w:r w:rsidRPr="005C37C8">
        <w:rPr>
          <w:color w:val="141414"/>
        </w:rPr>
        <w:t> for assistance.</w:t>
      </w:r>
    </w:p>
    <w:p w:rsidR="00206006" w:rsidRPr="005C37C8" w:rsidRDefault="00206006" w:rsidP="004259F9"/>
    <w:p w:rsidR="00BC12E9" w:rsidRDefault="00BC12E9" w:rsidP="004259F9">
      <w:pPr>
        <w:pStyle w:val="Default"/>
        <w:jc w:val="both"/>
        <w:rPr>
          <w:noProof/>
        </w:rPr>
      </w:pPr>
      <w:r>
        <w:rPr>
          <w:noProof/>
        </w:rPr>
        <w:lastRenderedPageBreak/>
        <w:t xml:space="preserve">The most up to date and valuable information on vaccination is found at: </w:t>
      </w:r>
      <w:hyperlink r:id="rId15" w:history="1">
        <w:r w:rsidRPr="0094617B">
          <w:rPr>
            <w:rStyle w:val="Hyperlink"/>
            <w:noProof/>
          </w:rPr>
          <w:t>https://www.barnstablecountyhealth.org/vaccine-information</w:t>
        </w:r>
      </w:hyperlink>
    </w:p>
    <w:p w:rsidR="00BC12E9" w:rsidRDefault="00BC12E9" w:rsidP="004259F9">
      <w:pPr>
        <w:pStyle w:val="Default"/>
        <w:jc w:val="both"/>
        <w:rPr>
          <w:noProof/>
        </w:rPr>
      </w:pPr>
    </w:p>
    <w:p w:rsidR="00BC12E9" w:rsidRPr="000C7542" w:rsidRDefault="000C7542" w:rsidP="004259F9">
      <w:pPr>
        <w:pStyle w:val="NoSpacing"/>
        <w:rPr>
          <w:bCs/>
          <w:color w:val="0070C0"/>
        </w:rPr>
      </w:pPr>
      <w:r w:rsidRPr="000C7542">
        <w:rPr>
          <w:bCs/>
          <w:color w:val="0070C0"/>
        </w:rPr>
        <w:t>PHASE IV, STEP 1 OF RE-OPENING</w:t>
      </w:r>
      <w:r>
        <w:rPr>
          <w:bCs/>
          <w:color w:val="0070C0"/>
        </w:rPr>
        <w:t xml:space="preserve"> (As of March 22, 2021)</w:t>
      </w:r>
    </w:p>
    <w:p w:rsidR="00BC12E9" w:rsidRDefault="00BC12E9" w:rsidP="004259F9">
      <w:pPr>
        <w:pStyle w:val="NoSpacing"/>
        <w:rPr>
          <w:b/>
          <w:bCs/>
        </w:rPr>
      </w:pPr>
    </w:p>
    <w:p w:rsidR="00AA094C" w:rsidRDefault="00BC12E9" w:rsidP="004259F9">
      <w:pPr>
        <w:pStyle w:val="NoSpacing"/>
      </w:pPr>
      <w:r>
        <w:rPr>
          <w:b/>
          <w:bCs/>
        </w:rPr>
        <w:t>COVID-19 Order No. 66</w:t>
      </w:r>
      <w:r>
        <w:t xml:space="preserve"> – Order Advancing All Communities to Phase IV, Step 1 of the Commonwealth’s Re-Opening Plan and Transitioning to a Travel Advisory Policy March 22</w:t>
      </w:r>
      <w:r>
        <w:rPr>
          <w:vertAlign w:val="superscript"/>
        </w:rPr>
        <w:t>nd</w:t>
      </w:r>
      <w:r>
        <w:t>, Appendix Adjusting Gathering Limits Set in COVID-19 Order No. 63</w:t>
      </w:r>
      <w:r w:rsidR="00AA094C">
        <w:t>.</w:t>
      </w:r>
    </w:p>
    <w:p w:rsidR="00AA094C" w:rsidRDefault="00AA094C" w:rsidP="004259F9">
      <w:pPr>
        <w:pStyle w:val="NoSpacing"/>
      </w:pPr>
    </w:p>
    <w:p w:rsidR="00AA094C" w:rsidRDefault="004259F9" w:rsidP="004259F9">
      <w:pPr>
        <w:widowControl/>
        <w:autoSpaceDE/>
        <w:autoSpaceDN/>
        <w:adjustRightInd/>
        <w:rPr>
          <w:color w:val="141414"/>
        </w:rPr>
      </w:pPr>
      <w:r>
        <w:rPr>
          <w:color w:val="141414"/>
        </w:rPr>
        <w:t xml:space="preserve">The </w:t>
      </w:r>
      <w:r w:rsidR="00AA094C" w:rsidRPr="00AA094C">
        <w:rPr>
          <w:color w:val="141414"/>
        </w:rPr>
        <w:t>Baker-</w:t>
      </w:r>
      <w:proofErr w:type="spellStart"/>
      <w:r w:rsidR="00AA094C" w:rsidRPr="00AA094C">
        <w:rPr>
          <w:color w:val="141414"/>
        </w:rPr>
        <w:t>Polito</w:t>
      </w:r>
      <w:proofErr w:type="spellEnd"/>
      <w:r w:rsidR="00AA094C" w:rsidRPr="00AA094C">
        <w:rPr>
          <w:color w:val="141414"/>
        </w:rPr>
        <w:t xml:space="preserve"> Administration announced that Massachusetts will advance to Step 1 of Phase IV of the Commonwealth’s reopening plan on Monday, March 22. The Administration continues to take steps to reopen the Commonwealth's economy with public health metrics continuing to trend in a positive direction. This includes drops in average daily COVID cases and hospitalizations. Massachusetts also continues to be a national leader in vaccination</w:t>
      </w:r>
      <w:r>
        <w:rPr>
          <w:color w:val="141414"/>
        </w:rPr>
        <w:t xml:space="preserve"> rates. The Administration also replaced the </w:t>
      </w:r>
      <w:r w:rsidR="00AA094C" w:rsidRPr="00AA094C">
        <w:rPr>
          <w:color w:val="141414"/>
        </w:rPr>
        <w:t>placed the Massachusetts Travel Order originally issued in July 2020 with a Travel Advisory, effective March 22. </w:t>
      </w:r>
    </w:p>
    <w:p w:rsidR="004259F9" w:rsidRPr="00AA094C" w:rsidRDefault="004259F9" w:rsidP="004259F9">
      <w:pPr>
        <w:widowControl/>
        <w:autoSpaceDE/>
        <w:autoSpaceDN/>
        <w:adjustRightInd/>
        <w:rPr>
          <w:color w:val="141414"/>
        </w:rPr>
      </w:pPr>
    </w:p>
    <w:p w:rsidR="00AA094C" w:rsidRDefault="00AA094C" w:rsidP="004259F9">
      <w:pPr>
        <w:widowControl/>
        <w:autoSpaceDE/>
        <w:autoSpaceDN/>
        <w:adjustRightInd/>
        <w:rPr>
          <w:color w:val="141414"/>
        </w:rPr>
      </w:pPr>
      <w:r w:rsidRPr="00AA094C">
        <w:rPr>
          <w:color w:val="141414"/>
        </w:rPr>
        <w:t>In addition, the Administration also announced nearly $31 million in awards to 710 additional small businesses in the tenth round of COVID-19 relief grants administered by the Massachusetts Growth Capital Corporation (MGCC). </w:t>
      </w:r>
    </w:p>
    <w:p w:rsidR="004259F9" w:rsidRPr="00AA094C" w:rsidRDefault="004259F9" w:rsidP="004259F9">
      <w:pPr>
        <w:widowControl/>
        <w:autoSpaceDE/>
        <w:autoSpaceDN/>
        <w:adjustRightInd/>
        <w:rPr>
          <w:color w:val="141414"/>
        </w:rPr>
      </w:pPr>
    </w:p>
    <w:p w:rsidR="00AA094C" w:rsidRPr="00AA094C" w:rsidRDefault="00AA094C" w:rsidP="004259F9">
      <w:pPr>
        <w:widowControl/>
        <w:autoSpaceDE/>
        <w:autoSpaceDN/>
        <w:adjustRightInd/>
        <w:rPr>
          <w:color w:val="141414"/>
        </w:rPr>
      </w:pPr>
      <w:r w:rsidRPr="004259F9">
        <w:rPr>
          <w:b/>
          <w:bCs/>
          <w:color w:val="141414"/>
        </w:rPr>
        <w:t>Phase IV, Step 1 and Gathering Changes:</w:t>
      </w:r>
    </w:p>
    <w:p w:rsidR="00AA094C" w:rsidRDefault="00AA094C" w:rsidP="004259F9">
      <w:pPr>
        <w:widowControl/>
        <w:autoSpaceDE/>
        <w:autoSpaceDN/>
        <w:adjustRightInd/>
        <w:rPr>
          <w:color w:val="141414"/>
        </w:rPr>
      </w:pPr>
      <w:r w:rsidRPr="00AA094C">
        <w:rPr>
          <w:color w:val="141414"/>
        </w:rPr>
        <w:t>On March 1, Massachusetts loosened capacity restrictions for several industries and advanced to Step 2 of Phase III of the reopening plan. Since then, hospitalizations dropped by 20% and deaths dropped by 24%. The seven day average of new cases in long-term care facilities dropped by 53%. The positive test rate remains below 2% and has been for several weeks now. The seven day average of new cases is also down over this time by 7%. </w:t>
      </w:r>
    </w:p>
    <w:p w:rsidR="004259F9" w:rsidRPr="00AA094C" w:rsidRDefault="004259F9" w:rsidP="004259F9">
      <w:pPr>
        <w:widowControl/>
        <w:autoSpaceDE/>
        <w:autoSpaceDN/>
        <w:adjustRightInd/>
        <w:rPr>
          <w:color w:val="141414"/>
        </w:rPr>
      </w:pPr>
    </w:p>
    <w:p w:rsidR="00AA094C" w:rsidRPr="00AA094C" w:rsidRDefault="00AA094C" w:rsidP="004259F9">
      <w:pPr>
        <w:widowControl/>
        <w:autoSpaceDE/>
        <w:autoSpaceDN/>
        <w:adjustRightInd/>
        <w:rPr>
          <w:color w:val="141414"/>
        </w:rPr>
      </w:pPr>
      <w:r w:rsidRPr="00AA094C">
        <w:rPr>
          <w:color w:val="141414"/>
        </w:rPr>
        <w:t>Effective Monday, March 22, all communities in Massachusetts will move into Step 1 of Phase IV of the state’s reopening plan. This will open a range of previously closed business sectors under tight capacity restrictions that are expected to be adjusted over time if favorable trends in the public health data continue. Effective on the planned advancement to Step 1 of Phase IV, the following large capacity sports and entertainment venues will be permitted to operate at a strict 12% capacity limit after submitting a plan to the Department of Public Health (DPH):</w:t>
      </w:r>
    </w:p>
    <w:p w:rsidR="00AA094C" w:rsidRPr="00AA094C" w:rsidRDefault="00AA094C" w:rsidP="004259F9">
      <w:pPr>
        <w:widowControl/>
        <w:numPr>
          <w:ilvl w:val="0"/>
          <w:numId w:val="8"/>
        </w:numPr>
        <w:autoSpaceDE/>
        <w:autoSpaceDN/>
        <w:adjustRightInd/>
        <w:ind w:firstLine="0"/>
        <w:rPr>
          <w:color w:val="141414"/>
        </w:rPr>
      </w:pPr>
      <w:r w:rsidRPr="00AA094C">
        <w:rPr>
          <w:color w:val="141414"/>
        </w:rPr>
        <w:t>Indoor and outdoor stadiums</w:t>
      </w:r>
    </w:p>
    <w:p w:rsidR="00AA094C" w:rsidRPr="00AA094C" w:rsidRDefault="00AA094C" w:rsidP="004259F9">
      <w:pPr>
        <w:widowControl/>
        <w:numPr>
          <w:ilvl w:val="0"/>
          <w:numId w:val="8"/>
        </w:numPr>
        <w:autoSpaceDE/>
        <w:autoSpaceDN/>
        <w:adjustRightInd/>
        <w:ind w:firstLine="0"/>
        <w:rPr>
          <w:color w:val="141414"/>
        </w:rPr>
      </w:pPr>
      <w:r w:rsidRPr="00AA094C">
        <w:rPr>
          <w:color w:val="141414"/>
        </w:rPr>
        <w:t>Arenas</w:t>
      </w:r>
    </w:p>
    <w:p w:rsidR="00AA094C" w:rsidRDefault="00AA094C" w:rsidP="004259F9">
      <w:pPr>
        <w:widowControl/>
        <w:numPr>
          <w:ilvl w:val="0"/>
          <w:numId w:val="8"/>
        </w:numPr>
        <w:autoSpaceDE/>
        <w:autoSpaceDN/>
        <w:adjustRightInd/>
        <w:ind w:firstLine="0"/>
        <w:rPr>
          <w:color w:val="141414"/>
        </w:rPr>
      </w:pPr>
      <w:r w:rsidRPr="00AA094C">
        <w:rPr>
          <w:color w:val="141414"/>
        </w:rPr>
        <w:t>Ballparks</w:t>
      </w:r>
    </w:p>
    <w:p w:rsidR="004259F9" w:rsidRPr="00AA094C" w:rsidRDefault="004259F9" w:rsidP="004259F9">
      <w:pPr>
        <w:widowControl/>
        <w:autoSpaceDE/>
        <w:autoSpaceDN/>
        <w:adjustRightInd/>
        <w:ind w:left="720"/>
        <w:rPr>
          <w:color w:val="141414"/>
        </w:rPr>
      </w:pPr>
    </w:p>
    <w:p w:rsidR="00AA094C" w:rsidRDefault="00AA094C" w:rsidP="004259F9">
      <w:pPr>
        <w:widowControl/>
        <w:autoSpaceDE/>
        <w:autoSpaceDN/>
        <w:adjustRightInd/>
        <w:rPr>
          <w:color w:val="141414"/>
        </w:rPr>
      </w:pPr>
      <w:r w:rsidRPr="00AA094C">
        <w:rPr>
          <w:color w:val="141414"/>
        </w:rPr>
        <w:t>Also effective on March 22, gathering limits for event venues and in public settings will increase to 100 people indoors and 150 people outdoors. Outdoor gatherings at private residences and in private backyards will remain at a maximum of 25 people, with indoor house gatherings remaining at 10 people.</w:t>
      </w:r>
    </w:p>
    <w:p w:rsidR="004259F9" w:rsidRPr="00AA094C" w:rsidRDefault="004259F9" w:rsidP="004259F9">
      <w:pPr>
        <w:widowControl/>
        <w:autoSpaceDE/>
        <w:autoSpaceDN/>
        <w:adjustRightInd/>
        <w:rPr>
          <w:color w:val="141414"/>
        </w:rPr>
      </w:pPr>
    </w:p>
    <w:p w:rsidR="00AA094C" w:rsidRDefault="00AA094C" w:rsidP="004259F9">
      <w:pPr>
        <w:widowControl/>
        <w:autoSpaceDE/>
        <w:autoSpaceDN/>
        <w:adjustRightInd/>
        <w:rPr>
          <w:color w:val="141414"/>
        </w:rPr>
      </w:pPr>
      <w:r w:rsidRPr="00AA094C">
        <w:rPr>
          <w:color w:val="141414"/>
        </w:rPr>
        <w:lastRenderedPageBreak/>
        <w:t>Additionally, dance floors will be permitted at weddings and other events only, and overnight summer camps will be allowed to operate this coming summer. Exhibition and convention halls may also begin to operate, following gatherings limits and event protocols. Other Phase IV sectors must continue to remain closed.</w:t>
      </w:r>
    </w:p>
    <w:p w:rsidR="004259F9" w:rsidRPr="00AA094C" w:rsidRDefault="004259F9" w:rsidP="004259F9">
      <w:pPr>
        <w:widowControl/>
        <w:autoSpaceDE/>
        <w:autoSpaceDN/>
        <w:adjustRightInd/>
        <w:rPr>
          <w:color w:val="141414"/>
        </w:rPr>
      </w:pPr>
    </w:p>
    <w:p w:rsidR="00AA094C" w:rsidRPr="00AA094C" w:rsidRDefault="00AA094C" w:rsidP="004259F9">
      <w:pPr>
        <w:widowControl/>
        <w:autoSpaceDE/>
        <w:autoSpaceDN/>
        <w:adjustRightInd/>
        <w:rPr>
          <w:color w:val="141414"/>
        </w:rPr>
      </w:pPr>
      <w:r w:rsidRPr="004259F9">
        <w:rPr>
          <w:b/>
          <w:bCs/>
          <w:color w:val="141414"/>
        </w:rPr>
        <w:t>Travel Order:</w:t>
      </w:r>
      <w:r w:rsidRPr="00AA094C">
        <w:rPr>
          <w:color w:val="141414"/>
        </w:rPr>
        <w:t>  </w:t>
      </w:r>
    </w:p>
    <w:p w:rsidR="00AA094C" w:rsidRDefault="00AA094C" w:rsidP="004259F9">
      <w:pPr>
        <w:widowControl/>
        <w:autoSpaceDE/>
        <w:autoSpaceDN/>
        <w:adjustRightInd/>
        <w:rPr>
          <w:color w:val="141414"/>
        </w:rPr>
      </w:pPr>
      <w:r w:rsidRPr="00AA094C">
        <w:rPr>
          <w:color w:val="141414"/>
        </w:rPr>
        <w:t>Effective Monday, March 22, the Massachusetts Travel Order will be replaced with a Travel Advisory.  </w:t>
      </w:r>
    </w:p>
    <w:p w:rsidR="004259F9" w:rsidRPr="00AA094C" w:rsidRDefault="004259F9" w:rsidP="004259F9">
      <w:pPr>
        <w:widowControl/>
        <w:autoSpaceDE/>
        <w:autoSpaceDN/>
        <w:adjustRightInd/>
        <w:rPr>
          <w:color w:val="141414"/>
        </w:rPr>
      </w:pPr>
    </w:p>
    <w:p w:rsidR="00AA094C" w:rsidRDefault="00AA094C" w:rsidP="004259F9">
      <w:pPr>
        <w:widowControl/>
        <w:autoSpaceDE/>
        <w:autoSpaceDN/>
        <w:adjustRightInd/>
        <w:rPr>
          <w:color w:val="141414"/>
        </w:rPr>
      </w:pPr>
      <w:r w:rsidRPr="00AA094C">
        <w:rPr>
          <w:color w:val="141414"/>
        </w:rPr>
        <w:t>The new travel advisory will urge all persons entering Massachusetts, including returning residents, are advised to quarantine for 10 days upon their arrival if they have been out of the state for 24 hours or more.  </w:t>
      </w:r>
    </w:p>
    <w:p w:rsidR="00260E5A" w:rsidRPr="00AA094C" w:rsidRDefault="00260E5A" w:rsidP="004259F9">
      <w:pPr>
        <w:widowControl/>
        <w:autoSpaceDE/>
        <w:autoSpaceDN/>
        <w:adjustRightInd/>
        <w:rPr>
          <w:color w:val="141414"/>
        </w:rPr>
      </w:pPr>
    </w:p>
    <w:p w:rsidR="00AA094C" w:rsidRPr="00AA094C" w:rsidRDefault="00AA094C" w:rsidP="004259F9">
      <w:pPr>
        <w:widowControl/>
        <w:autoSpaceDE/>
        <w:autoSpaceDN/>
        <w:adjustRightInd/>
        <w:rPr>
          <w:color w:val="141414"/>
        </w:rPr>
      </w:pPr>
      <w:r w:rsidRPr="00AA094C">
        <w:rPr>
          <w:color w:val="141414"/>
        </w:rPr>
        <w:t>The advisory does not apply to anyone in the following categories:</w:t>
      </w:r>
    </w:p>
    <w:p w:rsidR="00AA094C" w:rsidRPr="004259F9" w:rsidRDefault="00AA094C" w:rsidP="004259F9">
      <w:pPr>
        <w:pStyle w:val="ListParagraph"/>
        <w:numPr>
          <w:ilvl w:val="0"/>
          <w:numId w:val="10"/>
        </w:numPr>
        <w:rPr>
          <w:rFonts w:ascii="Times New Roman" w:hAnsi="Times New Roman" w:cs="Times New Roman"/>
          <w:color w:val="141414"/>
          <w:sz w:val="24"/>
          <w:szCs w:val="24"/>
        </w:rPr>
      </w:pPr>
      <w:r w:rsidRPr="004259F9">
        <w:rPr>
          <w:rFonts w:ascii="Times New Roman" w:hAnsi="Times New Roman" w:cs="Times New Roman"/>
          <w:color w:val="141414"/>
          <w:sz w:val="24"/>
          <w:szCs w:val="24"/>
        </w:rPr>
        <w:t>Anyone who is returning to Massachusetts after an absence of fewer than 24 hours. </w:t>
      </w:r>
    </w:p>
    <w:p w:rsidR="00AA094C" w:rsidRPr="004259F9" w:rsidRDefault="00AA094C" w:rsidP="004259F9">
      <w:pPr>
        <w:pStyle w:val="ListParagraph"/>
        <w:numPr>
          <w:ilvl w:val="0"/>
          <w:numId w:val="10"/>
        </w:numPr>
        <w:rPr>
          <w:rFonts w:ascii="Times New Roman" w:hAnsi="Times New Roman" w:cs="Times New Roman"/>
          <w:color w:val="141414"/>
          <w:sz w:val="24"/>
          <w:szCs w:val="24"/>
        </w:rPr>
      </w:pPr>
      <w:r w:rsidRPr="004259F9">
        <w:rPr>
          <w:rFonts w:ascii="Times New Roman" w:hAnsi="Times New Roman" w:cs="Times New Roman"/>
          <w:color w:val="141414"/>
          <w:sz w:val="24"/>
          <w:szCs w:val="24"/>
        </w:rPr>
        <w:t>Travelers who have a negative COVID-19 test result that has been administered up to 72 hours prior to their arrival in Massachusetts. </w:t>
      </w:r>
    </w:p>
    <w:p w:rsidR="00AA094C" w:rsidRPr="004259F9" w:rsidRDefault="00AA094C" w:rsidP="004259F9">
      <w:pPr>
        <w:pStyle w:val="ListParagraph"/>
        <w:numPr>
          <w:ilvl w:val="0"/>
          <w:numId w:val="10"/>
        </w:numPr>
        <w:rPr>
          <w:rFonts w:ascii="Times New Roman" w:hAnsi="Times New Roman" w:cs="Times New Roman"/>
          <w:color w:val="141414"/>
          <w:sz w:val="24"/>
          <w:szCs w:val="24"/>
        </w:rPr>
      </w:pPr>
      <w:r w:rsidRPr="004259F9">
        <w:rPr>
          <w:rFonts w:ascii="Times New Roman" w:hAnsi="Times New Roman" w:cs="Times New Roman"/>
          <w:color w:val="141414"/>
          <w:sz w:val="24"/>
          <w:szCs w:val="24"/>
        </w:rPr>
        <w:t>Workers who enter Massachusetts to perform critical infrastructure functions (as specified by the Federal Cybersecurity and Infrastructure Security Agency) while they are commuting to or from or while at work.</w:t>
      </w:r>
    </w:p>
    <w:p w:rsidR="00AA094C" w:rsidRPr="004259F9" w:rsidRDefault="00AA094C" w:rsidP="004259F9">
      <w:pPr>
        <w:pStyle w:val="ListParagraph"/>
        <w:numPr>
          <w:ilvl w:val="0"/>
          <w:numId w:val="10"/>
        </w:numPr>
        <w:rPr>
          <w:rFonts w:ascii="Times New Roman" w:hAnsi="Times New Roman" w:cs="Times New Roman"/>
          <w:color w:val="141414"/>
          <w:sz w:val="24"/>
          <w:szCs w:val="24"/>
        </w:rPr>
      </w:pPr>
      <w:r w:rsidRPr="004259F9">
        <w:rPr>
          <w:rFonts w:ascii="Times New Roman" w:hAnsi="Times New Roman" w:cs="Times New Roman"/>
          <w:color w:val="141414"/>
          <w:sz w:val="24"/>
          <w:szCs w:val="24"/>
        </w:rPr>
        <w:t xml:space="preserve">Travelers who are fully vaccinated (i.e. who have received two doses of either the </w:t>
      </w:r>
      <w:proofErr w:type="spellStart"/>
      <w:r w:rsidRPr="004259F9">
        <w:rPr>
          <w:rFonts w:ascii="Times New Roman" w:hAnsi="Times New Roman" w:cs="Times New Roman"/>
          <w:color w:val="141414"/>
          <w:sz w:val="24"/>
          <w:szCs w:val="24"/>
        </w:rPr>
        <w:t>Moderna</w:t>
      </w:r>
      <w:proofErr w:type="spellEnd"/>
      <w:r w:rsidRPr="004259F9">
        <w:rPr>
          <w:rFonts w:ascii="Times New Roman" w:hAnsi="Times New Roman" w:cs="Times New Roman"/>
          <w:color w:val="141414"/>
          <w:sz w:val="24"/>
          <w:szCs w:val="24"/>
        </w:rPr>
        <w:t xml:space="preserve"> or Pfizer COVID-19 vaccines OR who have received a single dose of the Johnson &amp; Johnson vaccine, 14 days or more ago and who do not have symptoms). </w:t>
      </w:r>
    </w:p>
    <w:p w:rsidR="00AA094C" w:rsidRPr="00AA094C" w:rsidRDefault="00AA094C" w:rsidP="004259F9">
      <w:pPr>
        <w:widowControl/>
        <w:autoSpaceDE/>
        <w:autoSpaceDN/>
        <w:adjustRightInd/>
        <w:rPr>
          <w:color w:val="141414"/>
        </w:rPr>
      </w:pPr>
      <w:r w:rsidRPr="00AA094C">
        <w:rPr>
          <w:color w:val="141414"/>
        </w:rPr>
        <w:t>Travelers are additionally encouraged to consult and follow the CDC’s guidelines and requirements for travel. </w:t>
      </w:r>
    </w:p>
    <w:p w:rsidR="00BC12E9" w:rsidRDefault="00BC12E9" w:rsidP="004259F9">
      <w:pPr>
        <w:pStyle w:val="NoSpacing"/>
      </w:pPr>
      <w:r>
        <w:t xml:space="preserve"> </w:t>
      </w:r>
    </w:p>
    <w:p w:rsidR="00BC12E9" w:rsidRDefault="00BC12E9" w:rsidP="004259F9">
      <w:r>
        <w:rPr>
          <w:b/>
          <w:bCs/>
        </w:rPr>
        <w:t xml:space="preserve">Highlights of Changes to the Sector-Specific Workplace Safety Standards for Phase IV, Step 1 </w:t>
      </w:r>
      <w:hyperlink r:id="rId16" w:history="1">
        <w:r>
          <w:rPr>
            <w:rStyle w:val="Hyperlink"/>
          </w:rPr>
          <w:t>https://www.mass.gov/resource/reopening-sector-specific-protocols-and-best-practices</w:t>
        </w:r>
      </w:hyperlink>
    </w:p>
    <w:p w:rsidR="00BC12E9" w:rsidRDefault="00BC12E9" w:rsidP="004259F9">
      <w:pPr>
        <w:widowControl/>
        <w:numPr>
          <w:ilvl w:val="0"/>
          <w:numId w:val="1"/>
        </w:numPr>
        <w:autoSpaceDE/>
        <w:autoSpaceDN/>
        <w:adjustRightInd/>
        <w:ind w:left="360" w:firstLine="0"/>
      </w:pPr>
      <w:r>
        <w:t xml:space="preserve">Theaters –removed Phase IV  reference; the beverage stations will follow restaurant rules </w:t>
      </w:r>
    </w:p>
    <w:p w:rsidR="00BC12E9" w:rsidRDefault="00BC12E9" w:rsidP="004259F9">
      <w:pPr>
        <w:widowControl/>
        <w:numPr>
          <w:ilvl w:val="0"/>
          <w:numId w:val="1"/>
        </w:numPr>
        <w:autoSpaceDE/>
        <w:autoSpaceDN/>
        <w:adjustRightInd/>
        <w:ind w:left="360" w:firstLine="0"/>
      </w:pPr>
      <w:r>
        <w:t xml:space="preserve">Restaurants – opens self-serve beverages </w:t>
      </w:r>
    </w:p>
    <w:p w:rsidR="00BC12E9" w:rsidRDefault="00BC12E9" w:rsidP="004259F9">
      <w:pPr>
        <w:widowControl/>
        <w:numPr>
          <w:ilvl w:val="0"/>
          <w:numId w:val="1"/>
        </w:numPr>
        <w:autoSpaceDE/>
        <w:autoSpaceDN/>
        <w:adjustRightInd/>
        <w:ind w:left="360" w:firstLine="0"/>
      </w:pPr>
      <w:r>
        <w:t>Museums – increases walking tour size to 25</w:t>
      </w:r>
    </w:p>
    <w:p w:rsidR="00BC12E9" w:rsidRDefault="00BC12E9" w:rsidP="004259F9">
      <w:pPr>
        <w:widowControl/>
        <w:numPr>
          <w:ilvl w:val="0"/>
          <w:numId w:val="1"/>
        </w:numPr>
        <w:autoSpaceDE/>
        <w:autoSpaceDN/>
        <w:adjustRightInd/>
        <w:ind w:left="360" w:firstLine="0"/>
      </w:pPr>
      <w:r>
        <w:t xml:space="preserve">Gyms and Fitness Centers – reduced distancing requirement from 14ft to 6ft </w:t>
      </w:r>
    </w:p>
    <w:p w:rsidR="00BC12E9" w:rsidRDefault="00BC12E9" w:rsidP="004259F9">
      <w:pPr>
        <w:widowControl/>
        <w:numPr>
          <w:ilvl w:val="0"/>
          <w:numId w:val="1"/>
        </w:numPr>
        <w:autoSpaceDE/>
        <w:autoSpaceDN/>
        <w:adjustRightInd/>
        <w:ind w:left="360" w:firstLine="0"/>
      </w:pPr>
      <w:r>
        <w:t xml:space="preserve">Retail – reopens food courts, following restaurant rules </w:t>
      </w:r>
      <w:r>
        <w:rPr>
          <w:i/>
          <w:iCs/>
        </w:rPr>
        <w:t>(reiterates most important rules, per HHS)</w:t>
      </w:r>
      <w:r>
        <w:t xml:space="preserve"> </w:t>
      </w:r>
    </w:p>
    <w:p w:rsidR="00BC12E9" w:rsidRDefault="00BC12E9" w:rsidP="004259F9">
      <w:pPr>
        <w:widowControl/>
        <w:numPr>
          <w:ilvl w:val="0"/>
          <w:numId w:val="1"/>
        </w:numPr>
        <w:autoSpaceDE/>
        <w:autoSpaceDN/>
        <w:adjustRightInd/>
        <w:ind w:left="360" w:firstLine="0"/>
      </w:pPr>
      <w:r>
        <w:t xml:space="preserve">Events – Clarifies that the 90 min limit does not apply for seated food service at events, removes reference to travel order </w:t>
      </w:r>
    </w:p>
    <w:p w:rsidR="00BC12E9" w:rsidRDefault="00BC12E9" w:rsidP="004259F9">
      <w:pPr>
        <w:pStyle w:val="NoSpacing"/>
      </w:pPr>
    </w:p>
    <w:p w:rsidR="00BC12E9" w:rsidRDefault="00BC12E9" w:rsidP="004259F9">
      <w:pPr>
        <w:pStyle w:val="NoSpacing"/>
        <w:rPr>
          <w:b/>
          <w:bCs/>
        </w:rPr>
      </w:pPr>
      <w:r>
        <w:rPr>
          <w:b/>
          <w:bCs/>
        </w:rPr>
        <w:t>Phase IV Enterprises that Must Remain Closed until Phase IV, Step 2</w:t>
      </w:r>
    </w:p>
    <w:p w:rsidR="00BC12E9" w:rsidRDefault="00BC12E9" w:rsidP="004259F9">
      <w:pPr>
        <w:pStyle w:val="NoSpacing"/>
        <w:widowControl/>
        <w:numPr>
          <w:ilvl w:val="0"/>
          <w:numId w:val="2"/>
        </w:numPr>
        <w:autoSpaceDE/>
        <w:autoSpaceDN/>
        <w:adjustRightInd/>
        <w:ind w:left="360" w:firstLine="0"/>
      </w:pPr>
      <w:r>
        <w:t xml:space="preserve">Amusement parks, theme parks, indoor and outdoor waterparks and ball pits </w:t>
      </w:r>
    </w:p>
    <w:p w:rsidR="00BC12E9" w:rsidRDefault="00BC12E9" w:rsidP="004259F9">
      <w:pPr>
        <w:pStyle w:val="NoSpacing"/>
        <w:widowControl/>
        <w:numPr>
          <w:ilvl w:val="0"/>
          <w:numId w:val="2"/>
        </w:numPr>
        <w:autoSpaceDE/>
        <w:autoSpaceDN/>
        <w:adjustRightInd/>
        <w:ind w:left="360" w:firstLine="0"/>
      </w:pPr>
      <w:r>
        <w:t>Street festivals and parades and agricultural festivals</w:t>
      </w:r>
    </w:p>
    <w:p w:rsidR="00BC12E9" w:rsidRDefault="00BC12E9" w:rsidP="004259F9">
      <w:pPr>
        <w:pStyle w:val="NoSpacing"/>
        <w:widowControl/>
        <w:numPr>
          <w:ilvl w:val="0"/>
          <w:numId w:val="2"/>
        </w:numPr>
        <w:autoSpaceDE/>
        <w:autoSpaceDN/>
        <w:adjustRightInd/>
        <w:ind w:left="360" w:firstLine="0"/>
      </w:pPr>
      <w:r>
        <w:lastRenderedPageBreak/>
        <w:t>Road races and other large, outdoor organized amateur or professional group athletic events</w:t>
      </w:r>
    </w:p>
    <w:p w:rsidR="00BC12E9" w:rsidRDefault="00BC12E9" w:rsidP="004259F9">
      <w:pPr>
        <w:pStyle w:val="NoSpacing"/>
        <w:widowControl/>
        <w:numPr>
          <w:ilvl w:val="0"/>
          <w:numId w:val="2"/>
        </w:numPr>
        <w:autoSpaceDE/>
        <w:autoSpaceDN/>
        <w:adjustRightInd/>
        <w:ind w:left="360" w:firstLine="0"/>
      </w:pPr>
      <w:r>
        <w:t xml:space="preserve">Bars, dance clubs and nightclubs </w:t>
      </w:r>
    </w:p>
    <w:p w:rsidR="00BC12E9" w:rsidRDefault="00BC12E9" w:rsidP="004259F9">
      <w:pPr>
        <w:pStyle w:val="NoSpacing"/>
        <w:widowControl/>
        <w:numPr>
          <w:ilvl w:val="0"/>
          <w:numId w:val="2"/>
        </w:numPr>
        <w:autoSpaceDE/>
        <w:autoSpaceDN/>
        <w:adjustRightInd/>
        <w:ind w:left="360" w:firstLine="0"/>
      </w:pPr>
      <w:r>
        <w:t>Beer gardens, breweries, wineries and distillates not providing seated food service</w:t>
      </w:r>
    </w:p>
    <w:p w:rsidR="000C7542" w:rsidRDefault="000C7542" w:rsidP="000C7542">
      <w:pPr>
        <w:pStyle w:val="NoSpacing"/>
        <w:widowControl/>
        <w:autoSpaceDE/>
        <w:autoSpaceDN/>
        <w:adjustRightInd/>
        <w:ind w:left="360"/>
      </w:pPr>
    </w:p>
    <w:p w:rsidR="00BC12E9" w:rsidRDefault="00BC12E9" w:rsidP="004259F9">
      <w:pPr>
        <w:pStyle w:val="Default"/>
        <w:jc w:val="both"/>
        <w:rPr>
          <w:noProof/>
        </w:rPr>
      </w:pPr>
    </w:p>
    <w:p w:rsidR="00BC12E9" w:rsidRPr="00F37D1E" w:rsidRDefault="00BC12E9" w:rsidP="004259F9">
      <w:pPr>
        <w:pStyle w:val="Default"/>
        <w:jc w:val="both"/>
        <w:rPr>
          <w:color w:val="2F5496"/>
        </w:rPr>
      </w:pPr>
      <w:r w:rsidRPr="00F37D1E">
        <w:rPr>
          <w:color w:val="2F5496"/>
        </w:rPr>
        <w:t>TESTING</w:t>
      </w:r>
    </w:p>
    <w:p w:rsidR="00BC12E9" w:rsidRDefault="00BC12E9" w:rsidP="004259F9">
      <w:pPr>
        <w:widowControl/>
        <w:shd w:val="clear" w:color="auto" w:fill="FFFFFF"/>
        <w:autoSpaceDE/>
        <w:autoSpaceDN/>
        <w:adjustRightInd/>
      </w:pPr>
      <w:r w:rsidRPr="00F37D1E">
        <w:t>For testing options at Outer Cape Health, please call </w:t>
      </w:r>
      <w:hyperlink r:id="rId17" w:history="1">
        <w:r w:rsidRPr="00F37D1E">
          <w:rPr>
            <w:rStyle w:val="Hyperlink"/>
          </w:rPr>
          <w:t>508-905-2888</w:t>
        </w:r>
      </w:hyperlink>
      <w:r w:rsidRPr="00F37D1E">
        <w:t> in advance to make a testing appointment.</w:t>
      </w:r>
    </w:p>
    <w:p w:rsidR="000C7542" w:rsidRPr="00F37D1E" w:rsidRDefault="000C7542" w:rsidP="004259F9">
      <w:pPr>
        <w:widowControl/>
        <w:shd w:val="clear" w:color="auto" w:fill="FFFFFF"/>
        <w:autoSpaceDE/>
        <w:autoSpaceDN/>
        <w:adjustRightInd/>
      </w:pPr>
    </w:p>
    <w:p w:rsidR="00BC12E9" w:rsidRDefault="00BC12E9" w:rsidP="004259F9">
      <w:pPr>
        <w:widowControl/>
        <w:shd w:val="clear" w:color="auto" w:fill="FFFFFF"/>
        <w:autoSpaceDE/>
        <w:autoSpaceDN/>
        <w:adjustRightInd/>
      </w:pPr>
      <w:r w:rsidRPr="00F37D1E">
        <w:t>Testing is available in other locations 7 days per week through Cape Cod Healthcare.  Call the Community Testing Line at 508-534-7103 to make an appointment.</w:t>
      </w:r>
    </w:p>
    <w:p w:rsidR="000C7542" w:rsidRPr="00F37D1E" w:rsidRDefault="000C7542" w:rsidP="004259F9">
      <w:pPr>
        <w:widowControl/>
        <w:shd w:val="clear" w:color="auto" w:fill="FFFFFF"/>
        <w:autoSpaceDE/>
        <w:autoSpaceDN/>
        <w:adjustRightInd/>
      </w:pPr>
    </w:p>
    <w:p w:rsidR="00BC12E9" w:rsidRDefault="00BC12E9" w:rsidP="004259F9">
      <w:pPr>
        <w:pStyle w:val="Default"/>
        <w:jc w:val="both"/>
      </w:pPr>
      <w:r>
        <w:t>Katie O’Neill</w:t>
      </w:r>
    </w:p>
    <w:p w:rsidR="00BC12E9" w:rsidRPr="00F37D1E" w:rsidRDefault="00BC12E9" w:rsidP="004259F9">
      <w:pPr>
        <w:pStyle w:val="Default"/>
        <w:jc w:val="both"/>
      </w:pPr>
      <w:r>
        <w:t>Health Director</w:t>
      </w:r>
    </w:p>
    <w:p w:rsidR="00BC12E9" w:rsidRPr="00F37D1E" w:rsidRDefault="00BC12E9" w:rsidP="004259F9">
      <w:pPr>
        <w:pStyle w:val="Default"/>
        <w:jc w:val="both"/>
      </w:pPr>
    </w:p>
    <w:p w:rsidR="00C1590F" w:rsidRDefault="00C1590F"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7D5D38" w:rsidRDefault="007D5D38" w:rsidP="004259F9"/>
    <w:p w:rsidR="001C0DC4" w:rsidRPr="001C0DC4" w:rsidRDefault="001C0DC4" w:rsidP="001C0DC4">
      <w:pPr>
        <w:jc w:val="center"/>
        <w:rPr>
          <w:rFonts w:ascii="Calibri" w:hAnsi="Calibri" w:cs="Calibri"/>
          <w:b/>
          <w:bdr w:val="none" w:sz="0" w:space="0" w:color="auto" w:frame="1"/>
        </w:rPr>
      </w:pPr>
      <w:r w:rsidRPr="001C0DC4">
        <w:rPr>
          <w:rFonts w:ascii="Calibri" w:hAnsi="Calibri" w:cs="Calibri"/>
          <w:b/>
          <w:bdr w:val="none" w:sz="0" w:space="0" w:color="auto" w:frame="1"/>
        </w:rPr>
        <w:lastRenderedPageBreak/>
        <w:t>3/21/21: Barnstable County and Regional COVID-19 Daily Update</w:t>
      </w:r>
    </w:p>
    <w:p w:rsidR="001C0DC4" w:rsidRPr="001C0DC4" w:rsidRDefault="001C0DC4" w:rsidP="001C0DC4">
      <w:pPr>
        <w:jc w:val="center"/>
        <w:rPr>
          <w:rFonts w:ascii="Calibri" w:hAnsi="Calibri" w:cs="Calibri"/>
          <w:bdr w:val="none" w:sz="0" w:space="0" w:color="auto" w:frame="1"/>
        </w:rPr>
      </w:pPr>
    </w:p>
    <w:p w:rsidR="001C0DC4" w:rsidRDefault="001C0DC4" w:rsidP="001C0DC4">
      <w:pPr>
        <w:rPr>
          <w:rFonts w:ascii="Calibri" w:hAnsi="Calibri" w:cs="Calibri"/>
          <w:color w:val="000000"/>
        </w:rPr>
      </w:pPr>
      <w:r>
        <w:rPr>
          <w:rFonts w:ascii="Calibri" w:hAnsi="Calibri" w:cs="Calibri"/>
          <w:color w:val="C82613"/>
          <w:bdr w:val="none" w:sz="0" w:space="0" w:color="auto" w:frame="1"/>
        </w:rPr>
        <w:t>(N.B.  I am no longer attempting to tally new probable cases alongside new confirmed cases.  I have not received information on probable cases since 12/6/20, at which time Barnstable County had logged a total of 531.)</w:t>
      </w:r>
      <w:r>
        <w:rPr>
          <w:rFonts w:ascii="Calibri" w:hAnsi="Calibri" w:cs="Calibri"/>
          <w:color w:val="000000"/>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Good Morning All.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sz w:val="22"/>
          <w:szCs w:val="22"/>
        </w:rPr>
      </w:pPr>
      <w:r>
        <w:rPr>
          <w:rFonts w:ascii="Calibri" w:hAnsi="Calibri" w:cs="Calibri"/>
          <w:b/>
          <w:bCs/>
          <w:color w:val="000000"/>
          <w:bdr w:val="none" w:sz="0" w:space="0" w:color="auto" w:frame="1"/>
          <w:shd w:val="clear" w:color="auto" w:fill="FFFF80"/>
        </w:rPr>
        <w:t>The towns of Barnstable and Yarmouth have returned to the highest risk (red) category in terms of average 2-week new case numbers.</w:t>
      </w:r>
      <w:r>
        <w:rPr>
          <w:rFonts w:ascii="Calibri" w:hAnsi="Calibri" w:cs="Calibri"/>
          <w:b/>
          <w:bCs/>
          <w:color w:val="000000"/>
          <w:bdr w:val="none" w:sz="0" w:space="0" w:color="auto" w:frame="1"/>
          <w:shd w:val="clear" w:color="auto" w:fill="FFFFFF"/>
        </w:rPr>
        <w:t>​</w:t>
      </w:r>
    </w:p>
    <w:p w:rsidR="001C0DC4" w:rsidRDefault="001C0DC4" w:rsidP="001C0DC4">
      <w:pPr>
        <w:pStyle w:val="xxxxxxmsonormal"/>
        <w:shd w:val="clear" w:color="auto" w:fill="FFFFFF"/>
        <w:rPr>
          <w:rFonts w:ascii="Calibri" w:hAnsi="Calibri" w:cs="Calibri"/>
          <w:sz w:val="22"/>
          <w:szCs w:val="22"/>
        </w:rPr>
      </w:pPr>
    </w:p>
    <w:p w:rsidR="001C0DC4" w:rsidRDefault="001C0DC4" w:rsidP="001C0DC4">
      <w:pPr>
        <w:pStyle w:val="xxxxxxmsonormal"/>
        <w:shd w:val="clear" w:color="auto" w:fill="FFFFFF"/>
        <w:rPr>
          <w:rFonts w:ascii="Calibri" w:hAnsi="Calibri" w:cs="Calibri"/>
          <w:sz w:val="22"/>
          <w:szCs w:val="22"/>
        </w:rPr>
      </w:pPr>
      <w:r>
        <w:rPr>
          <w:rFonts w:ascii="inherit" w:hAnsi="inherit" w:cs="Calibri"/>
          <w:b/>
          <w:bCs/>
          <w:color w:val="000000"/>
          <w:shd w:val="clear" w:color="auto" w:fill="FFFF80"/>
        </w:rPr>
        <w:t xml:space="preserve">The first case of the Brazilian variant P1 has been announced in Massachusetts in Barnstable County </w:t>
      </w:r>
      <w:r>
        <w:rPr>
          <w:rFonts w:ascii="Calibri" w:hAnsi="Calibri" w:cs="Calibri"/>
          <w:color w:val="000000"/>
          <w:shd w:val="clear" w:color="auto" w:fill="FFFF80"/>
        </w:rPr>
        <w:t>(30 year-old female)</w:t>
      </w:r>
      <w:r>
        <w:rPr>
          <w:rFonts w:ascii="inherit" w:hAnsi="inherit" w:cs="Calibri"/>
          <w:b/>
          <w:bCs/>
          <w:color w:val="000000"/>
          <w:shd w:val="clear" w:color="auto" w:fill="FFFF80"/>
        </w:rPr>
        <w:t xml:space="preserve">.  </w:t>
      </w:r>
      <w:r>
        <w:rPr>
          <w:rFonts w:ascii="inherit" w:hAnsi="inherit" w:cs="Calibri"/>
          <w:b/>
          <w:bCs/>
          <w:color w:val="C82613"/>
          <w:shd w:val="clear" w:color="auto" w:fill="FFFF80"/>
        </w:rPr>
        <w:t>The contribution in Barnstable County to the new case numbers of any variants is unknown at this time.</w:t>
      </w:r>
    </w:p>
    <w:p w:rsidR="001C0DC4" w:rsidRDefault="001C0DC4" w:rsidP="001C0DC4">
      <w:pPr>
        <w:pStyle w:val="xxxxxxmsonormal"/>
        <w:shd w:val="clear" w:color="auto" w:fill="FFFFFF"/>
        <w:rPr>
          <w:rFonts w:ascii="Calibri" w:hAnsi="Calibri" w:cs="Calibri"/>
          <w:sz w:val="22"/>
          <w:szCs w:val="22"/>
        </w:rPr>
      </w:pPr>
    </w:p>
    <w:p w:rsidR="001C0DC4" w:rsidRDefault="001C0DC4" w:rsidP="001C0DC4">
      <w:pPr>
        <w:pStyle w:val="xxxxxxmsonormal"/>
        <w:shd w:val="clear" w:color="auto" w:fill="FFFFFF"/>
        <w:rPr>
          <w:rFonts w:ascii="Calibri" w:hAnsi="Calibri" w:cs="Calibri"/>
          <w:sz w:val="22"/>
          <w:szCs w:val="22"/>
        </w:rPr>
      </w:pPr>
      <w:r>
        <w:rPr>
          <w:rFonts w:ascii="inherit" w:hAnsi="inherit" w:cs="Calibri"/>
          <w:b/>
          <w:bCs/>
          <w:color w:val="000000"/>
          <w:shd w:val="clear" w:color="auto" w:fill="FFFFFF"/>
        </w:rPr>
        <w:t>In follow up to discussions between the relevant town health agents, the County, and the DPH, the DPH has stated that it will deploy additional testing resources to the mid-Cape region.</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t>SUMMARY:</w:t>
      </w:r>
      <w:r>
        <w:rPr>
          <w:rFonts w:ascii="Calibri" w:hAnsi="Calibri" w:cs="Calibri"/>
          <w:color w:val="000000"/>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1.  </w:t>
      </w:r>
      <w:r>
        <w:rPr>
          <w:rFonts w:ascii="Calibri" w:hAnsi="Calibri" w:cs="Calibri"/>
          <w:b/>
          <w:bCs/>
          <w:color w:val="000000"/>
          <w:u w:val="single"/>
          <w:bdr w:val="none" w:sz="0" w:space="0" w:color="auto" w:frame="1"/>
        </w:rPr>
        <w:t>New Cases:</w:t>
      </w:r>
      <w:r>
        <w:rPr>
          <w:rFonts w:ascii="Calibri" w:hAnsi="Calibri" w:cs="Calibri"/>
          <w:b/>
          <w:bCs/>
          <w:color w:val="000000"/>
          <w:bdr w:val="none" w:sz="0" w:space="0" w:color="auto" w:frame="1"/>
        </w:rPr>
        <w:t>  </w:t>
      </w:r>
      <w:r>
        <w:rPr>
          <w:rFonts w:ascii="Calibri" w:hAnsi="Calibri" w:cs="Calibri"/>
          <w:color w:val="000000"/>
          <w:bdr w:val="none" w:sz="0" w:space="0" w:color="auto" w:frame="1"/>
          <w:shd w:val="clear" w:color="auto" w:fill="FFFFFF"/>
        </w:rPr>
        <w:t>DPH new cases reported yesterday: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                Barnstable County:        98</w:t>
      </w:r>
      <w:r>
        <w:rPr>
          <w:rFonts w:ascii="Calibri" w:hAnsi="Calibri" w:cs="Calibri"/>
          <w:color w:val="000000"/>
          <w:bdr w:val="none" w:sz="0" w:space="0" w:color="auto" w:frame="1"/>
          <w:shd w:val="clear" w:color="auto" w:fill="FFFFFF"/>
        </w:rPr>
        <w:t> new cases</w:t>
      </w:r>
      <w:r>
        <w:rPr>
          <w:rFonts w:ascii="Calibri" w:hAnsi="Calibri" w:cs="Calibri"/>
          <w:color w:val="000000"/>
          <w:bdr w:val="none" w:sz="0" w:space="0" w:color="auto" w:frame="1"/>
        </w:rPr>
        <w:t> (</w:t>
      </w:r>
      <w:r>
        <w:rPr>
          <w:rFonts w:ascii="Calibri" w:hAnsi="Calibri" w:cs="Calibri"/>
          <w:color w:val="000000"/>
          <w:bdr w:val="none" w:sz="0" w:space="0" w:color="auto" w:frame="1"/>
          <w:shd w:val="clear" w:color="auto" w:fill="FFFF80"/>
        </w:rPr>
        <w:t>cases continue to increase--mid-Cape sub-region</w:t>
      </w:r>
      <w:r>
        <w:rPr>
          <w:rFonts w:ascii="Calibri" w:hAnsi="Calibri" w:cs="Calibri"/>
          <w:color w:val="000000"/>
          <w:bdr w:val="none" w:sz="0" w:space="0" w:color="auto" w:frame="1"/>
        </w:rPr>
        <w:t>)</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                Martha's Vineyard:          2 </w:t>
      </w:r>
      <w:r>
        <w:rPr>
          <w:rFonts w:ascii="Calibri" w:hAnsi="Calibri" w:cs="Calibri"/>
          <w:color w:val="000000"/>
          <w:bdr w:val="none" w:sz="0" w:space="0" w:color="auto" w:frame="1"/>
          <w:shd w:val="clear" w:color="auto" w:fill="FFFFFF"/>
        </w:rPr>
        <w:t>new cases</w:t>
      </w:r>
      <w:r>
        <w:rPr>
          <w:rFonts w:ascii="Calibri" w:hAnsi="Calibri" w:cs="Calibri"/>
          <w:color w:val="000000"/>
          <w:bdr w:val="none" w:sz="0" w:space="0" w:color="auto" w:frame="1"/>
          <w:shd w:val="clear" w:color="auto" w:fill="FFFFFF"/>
        </w:rPr>
        <w:br/>
      </w:r>
      <w:r>
        <w:rPr>
          <w:rFonts w:ascii="Calibri" w:hAnsi="Calibri" w:cs="Calibri"/>
          <w:b/>
          <w:bCs/>
          <w:color w:val="000000"/>
          <w:bdr w:val="none" w:sz="0" w:space="0" w:color="auto" w:frame="1"/>
          <w:shd w:val="clear" w:color="auto" w:fill="FFFFFF"/>
        </w:rPr>
        <w:t>                Nantucket:                         0</w:t>
      </w:r>
      <w:r>
        <w:rPr>
          <w:rFonts w:ascii="Calibri" w:hAnsi="Calibri" w:cs="Calibri"/>
          <w:color w:val="000000"/>
          <w:bdr w:val="none" w:sz="0" w:space="0" w:color="auto" w:frame="1"/>
          <w:shd w:val="clear" w:color="auto" w:fill="FFFFFF"/>
        </w:rPr>
        <w:t> new cases</w:t>
      </w:r>
      <w:r>
        <w:rPr>
          <w:rFonts w:ascii="Calibri" w:hAnsi="Calibri" w:cs="Calibri"/>
          <w:color w:val="000000"/>
          <w:bdr w:val="none" w:sz="0" w:space="0" w:color="auto" w:frame="1"/>
          <w:shd w:val="clear" w:color="auto" w:fill="FFFFFF"/>
        </w:rPr>
        <w:br/>
      </w:r>
      <w:r>
        <w:rPr>
          <w:rFonts w:ascii="Calibri" w:hAnsi="Calibri" w:cs="Calibri"/>
          <w:color w:val="000000"/>
          <w:bdr w:val="none" w:sz="0" w:space="0" w:color="auto" w:frame="1"/>
          <w:shd w:val="clear" w:color="auto" w:fill="FFFFFF"/>
        </w:rPr>
        <w:br/>
      </w:r>
      <w:r>
        <w:rPr>
          <w:rFonts w:ascii="Calibri" w:hAnsi="Calibri" w:cs="Calibri"/>
          <w:color w:val="000000"/>
          <w:sz w:val="22"/>
          <w:szCs w:val="22"/>
        </w:rPr>
        <w:t> </w:t>
      </w:r>
      <w:r>
        <w:rPr>
          <w:rFonts w:ascii="Calibri" w:hAnsi="Calibri" w:cs="Calibri"/>
          <w:b/>
          <w:bCs/>
          <w:color w:val="000000"/>
          <w:bdr w:val="none" w:sz="0" w:space="0" w:color="auto" w:frame="1"/>
        </w:rPr>
        <w:t>2.  </w:t>
      </w:r>
      <w:r>
        <w:rPr>
          <w:rFonts w:ascii="Calibri" w:hAnsi="Calibri" w:cs="Calibri"/>
          <w:b/>
          <w:bCs/>
          <w:color w:val="000000"/>
          <w:u w:val="single"/>
          <w:bdr w:val="none" w:sz="0" w:space="0" w:color="auto" w:frame="1"/>
        </w:rPr>
        <w:t>Hospitalizations and Fatalities:</w:t>
      </w:r>
      <w:r>
        <w:rPr>
          <w:rFonts w:ascii="Calibri" w:hAnsi="Calibri" w:cs="Calibri"/>
          <w:b/>
          <w:bCs/>
          <w:color w:val="000000"/>
          <w:bdr w:val="none" w:sz="0" w:space="0" w:color="auto" w:frame="1"/>
        </w:rPr>
        <w:t>  </w:t>
      </w:r>
      <w:r>
        <w:rPr>
          <w:rFonts w:ascii="Calibri" w:hAnsi="Calibri" w:cs="Calibri"/>
          <w:color w:val="000000"/>
          <w:bdr w:val="none" w:sz="0" w:space="0" w:color="auto" w:frame="1"/>
        </w:rPr>
        <w:t>3-day avg. </w:t>
      </w:r>
      <w:r>
        <w:rPr>
          <w:rFonts w:ascii="Calibri" w:hAnsi="Calibri" w:cs="Calibri"/>
          <w:color w:val="000000"/>
          <w:u w:val="single"/>
          <w:bdr w:val="none" w:sz="0" w:space="0" w:color="auto" w:frame="1"/>
        </w:rPr>
        <w:t>hospitalizations</w:t>
      </w:r>
      <w:r>
        <w:rPr>
          <w:rFonts w:ascii="Calibri" w:hAnsi="Calibri" w:cs="Calibri"/>
          <w:color w:val="000000"/>
          <w:bdr w:val="none" w:sz="0" w:space="0" w:color="auto" w:frame="1"/>
        </w:rPr>
        <w:t xml:space="preserve"> (now </w:t>
      </w:r>
      <w:r>
        <w:rPr>
          <w:rFonts w:ascii="Calibri" w:hAnsi="Calibri" w:cs="Calibri"/>
          <w:b/>
          <w:bCs/>
          <w:color w:val="000000"/>
          <w:bdr w:val="none" w:sz="0" w:space="0" w:color="auto" w:frame="1"/>
        </w:rPr>
        <w:t>23</w:t>
      </w:r>
      <w:r>
        <w:rPr>
          <w:rFonts w:ascii="Calibri" w:hAnsi="Calibri" w:cs="Calibri"/>
          <w:color w:val="000000"/>
          <w:bdr w:val="none" w:sz="0" w:space="0" w:color="auto" w:frame="1"/>
        </w:rPr>
        <w:t xml:space="preserve">) has increased.  </w:t>
      </w:r>
      <w:r>
        <w:rPr>
          <w:rFonts w:ascii="Calibri" w:hAnsi="Calibri" w:cs="Calibri"/>
          <w:b/>
          <w:bCs/>
          <w:color w:val="000000"/>
          <w:bdr w:val="none" w:sz="0" w:space="0" w:color="auto" w:frame="1"/>
        </w:rPr>
        <w:t>5</w:t>
      </w:r>
      <w:r>
        <w:rPr>
          <w:rFonts w:ascii="Calibri" w:hAnsi="Calibri" w:cs="Calibri"/>
          <w:color w:val="000000"/>
          <w:bdr w:val="none" w:sz="0" w:space="0" w:color="auto" w:frame="1"/>
        </w:rPr>
        <w:t> patients were in the ICU yesterday afternoon.  There were</w:t>
      </w:r>
      <w:r>
        <w:rPr>
          <w:rFonts w:ascii="Calibri" w:hAnsi="Calibri" w:cs="Calibri"/>
          <w:b/>
          <w:bCs/>
          <w:color w:val="000000"/>
          <w:bdr w:val="none" w:sz="0" w:space="0" w:color="auto" w:frame="1"/>
        </w:rPr>
        <w:t> 2 COVID fatalities</w:t>
      </w:r>
      <w:r>
        <w:rPr>
          <w:rFonts w:ascii="Calibri" w:hAnsi="Calibri" w:cs="Calibri"/>
          <w:color w:val="000000"/>
          <w:bdr w:val="none" w:sz="0" w:space="0" w:color="auto" w:frame="1"/>
        </w:rPr>
        <w:t> reported Friday-Sunday.  CCH and Falmouth Hospital have re-opened to limited visitation.</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bdr w:val="none" w:sz="0" w:space="0" w:color="auto" w:frame="1"/>
        </w:rPr>
      </w:pP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The first week of March marked the </w:t>
      </w:r>
      <w:r>
        <w:rPr>
          <w:rFonts w:ascii="Calibri" w:hAnsi="Calibri" w:cs="Calibri"/>
          <w:b/>
          <w:bCs/>
          <w:color w:val="C82613"/>
          <w:bdr w:val="none" w:sz="0" w:space="0" w:color="auto" w:frame="1"/>
        </w:rPr>
        <w:t>one-year anniversary</w:t>
      </w:r>
      <w:r>
        <w:rPr>
          <w:rFonts w:ascii="Calibri" w:hAnsi="Calibri" w:cs="Calibri"/>
          <w:color w:val="000000"/>
          <w:bdr w:val="none" w:sz="0" w:space="0" w:color="auto" w:frame="1"/>
        </w:rPr>
        <w:t> of the recognition of the first COVID case in Massachusetts.​  In year 1 of this pandemic the </w:t>
      </w:r>
      <w:r>
        <w:rPr>
          <w:rFonts w:ascii="Calibri" w:hAnsi="Calibri" w:cs="Calibri"/>
          <w:b/>
          <w:bCs/>
          <w:color w:val="000000"/>
          <w:bdr w:val="none" w:sz="0" w:space="0" w:color="auto" w:frame="1"/>
          <w:shd w:val="clear" w:color="auto" w:fill="FFFF80"/>
        </w:rPr>
        <w:t>Barnstable County Case Fatality Rate (CFR) is 4%</w:t>
      </w:r>
      <w:r>
        <w:rPr>
          <w:rFonts w:ascii="Calibri" w:hAnsi="Calibri" w:cs="Calibri"/>
          <w:color w:val="000000"/>
          <w:bdr w:val="none" w:sz="0" w:space="0" w:color="auto" w:frame="1"/>
          <w:shd w:val="clear" w:color="auto" w:fill="FFFF80"/>
        </w:rPr>
        <w:t>, behind only Berkshire and Franklin Counties (which are also remote, rural locales), and is markedly higher than the </w:t>
      </w:r>
      <w:r>
        <w:rPr>
          <w:rFonts w:ascii="Calibri" w:hAnsi="Calibri" w:cs="Calibri"/>
          <w:b/>
          <w:bCs/>
          <w:color w:val="000000"/>
          <w:bdr w:val="none" w:sz="0" w:space="0" w:color="auto" w:frame="1"/>
          <w:shd w:val="clear" w:color="auto" w:fill="FFFF80"/>
        </w:rPr>
        <w:t>state CFR (2.8%)</w:t>
      </w:r>
      <w:r>
        <w:rPr>
          <w:rFonts w:ascii="Calibri" w:hAnsi="Calibri" w:cs="Calibri"/>
          <w:color w:val="000000"/>
          <w:bdr w:val="none" w:sz="0" w:space="0" w:color="auto" w:frame="1"/>
          <w:shd w:val="clear" w:color="auto" w:fill="FFFF80"/>
        </w:rPr>
        <w:t>.</w:t>
      </w:r>
      <w:r>
        <w:rPr>
          <w:rFonts w:ascii="Calibri" w:hAnsi="Calibri" w:cs="Calibri"/>
          <w:color w:val="000000"/>
          <w:sz w:val="22"/>
          <w:szCs w:val="22"/>
          <w:bdr w:val="none" w:sz="0" w:space="0" w:color="auto" w:frame="1"/>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Recent data on COVID </w:t>
      </w:r>
      <w:r>
        <w:rPr>
          <w:rFonts w:ascii="Calibri" w:hAnsi="Calibri" w:cs="Calibri"/>
          <w:color w:val="000000"/>
          <w:u w:val="single"/>
          <w:bdr w:val="none" w:sz="0" w:space="0" w:color="auto" w:frame="1"/>
          <w:shd w:val="clear" w:color="auto" w:fill="FFFFFF"/>
        </w:rPr>
        <w:t>fatalities </w:t>
      </w:r>
      <w:r>
        <w:rPr>
          <w:rFonts w:ascii="Calibri" w:hAnsi="Calibri" w:cs="Calibri"/>
          <w:color w:val="000000"/>
          <w:bdr w:val="none" w:sz="0" w:space="0" w:color="auto" w:frame="1"/>
          <w:shd w:val="clear" w:color="auto" w:fill="FFFFFF"/>
        </w:rPr>
        <w:t>in Barnstable County suggest that residents of </w:t>
      </w:r>
      <w:r>
        <w:rPr>
          <w:rFonts w:ascii="Calibri" w:hAnsi="Calibri" w:cs="Calibri"/>
          <w:b/>
          <w:bCs/>
          <w:color w:val="000000"/>
          <w:bdr w:val="none" w:sz="0" w:space="0" w:color="auto" w:frame="1"/>
          <w:shd w:val="clear" w:color="auto" w:fill="FFFFFF"/>
        </w:rPr>
        <w:t>Long Term Care/Skilled Nursing Facilities/Rest Homes </w:t>
      </w:r>
      <w:r>
        <w:rPr>
          <w:rFonts w:ascii="Calibri" w:hAnsi="Calibri" w:cs="Calibri"/>
          <w:color w:val="000000"/>
          <w:bdr w:val="none" w:sz="0" w:space="0" w:color="auto" w:frame="1"/>
          <w:shd w:val="clear" w:color="auto" w:fill="FFFFFF"/>
        </w:rPr>
        <w:t>represent </w:t>
      </w:r>
      <w:r>
        <w:rPr>
          <w:rFonts w:ascii="Calibri" w:hAnsi="Calibri" w:cs="Calibri"/>
          <w:b/>
          <w:bCs/>
          <w:color w:val="000000"/>
          <w:bdr w:val="none" w:sz="0" w:space="0" w:color="auto" w:frame="1"/>
          <w:shd w:val="clear" w:color="auto" w:fill="FFFFFF"/>
        </w:rPr>
        <w:t>42.5%</w:t>
      </w:r>
      <w:r>
        <w:rPr>
          <w:rFonts w:ascii="Calibri" w:hAnsi="Calibri" w:cs="Calibri"/>
          <w:color w:val="000000"/>
          <w:bdr w:val="none" w:sz="0" w:space="0" w:color="auto" w:frame="1"/>
          <w:shd w:val="clear" w:color="auto" w:fill="FFFFFF"/>
        </w:rPr>
        <w:t> of all fatalities (167 of 393 fatalities, as of 2/23/21).  This is a </w:t>
      </w:r>
      <w:r>
        <w:rPr>
          <w:rFonts w:ascii="Calibri" w:hAnsi="Calibri" w:cs="Calibri"/>
          <w:b/>
          <w:bCs/>
          <w:color w:val="000000"/>
          <w:u w:val="single"/>
          <w:bdr w:val="none" w:sz="0" w:space="0" w:color="auto" w:frame="1"/>
          <w:shd w:val="clear" w:color="auto" w:fill="FFFFFF"/>
        </w:rPr>
        <w:t>lower</w:t>
      </w:r>
      <w:r>
        <w:rPr>
          <w:rFonts w:ascii="Calibri" w:hAnsi="Calibri" w:cs="Calibri"/>
          <w:b/>
          <w:bCs/>
          <w:color w:val="000000"/>
          <w:bdr w:val="none" w:sz="0" w:space="0" w:color="auto" w:frame="1"/>
          <w:shd w:val="clear" w:color="auto" w:fill="FFFFFF"/>
        </w:rPr>
        <w:t> </w:t>
      </w:r>
      <w:r>
        <w:rPr>
          <w:rFonts w:ascii="Calibri" w:hAnsi="Calibri" w:cs="Calibri"/>
          <w:color w:val="000000"/>
          <w:bdr w:val="none" w:sz="0" w:space="0" w:color="auto" w:frame="1"/>
          <w:shd w:val="clear" w:color="auto" w:fill="FFFFFF"/>
        </w:rPr>
        <w:t>percentage than that seen during phase 1 of the pandemic last spring (over 65%), and </w:t>
      </w:r>
      <w:r>
        <w:rPr>
          <w:rFonts w:ascii="Calibri" w:hAnsi="Calibri" w:cs="Calibri"/>
          <w:b/>
          <w:bCs/>
          <w:color w:val="000000"/>
          <w:bdr w:val="none" w:sz="0" w:space="0" w:color="auto" w:frame="1"/>
          <w:shd w:val="clear" w:color="auto" w:fill="FFFFFF"/>
        </w:rPr>
        <w:t>this percentage continues to fall.  Indeed, </w:t>
      </w:r>
      <w:r>
        <w:rPr>
          <w:rFonts w:ascii="Calibri" w:hAnsi="Calibri" w:cs="Calibri"/>
          <w:b/>
          <w:bCs/>
          <w:color w:val="000000"/>
          <w:bdr w:val="none" w:sz="0" w:space="0" w:color="auto" w:frame="1"/>
          <w:shd w:val="clear" w:color="auto" w:fill="FFFF80"/>
        </w:rPr>
        <w:t>between 1/5/21 and 2/23/21 only 20% (28) of 137 fatalities occurred among LTC residents.</w:t>
      </w:r>
      <w:r>
        <w:rPr>
          <w:rFonts w:ascii="Calibri" w:hAnsi="Calibri" w:cs="Calibri"/>
          <w:color w:val="000000"/>
          <w:bdr w:val="none" w:sz="0" w:space="0" w:color="auto" w:frame="1"/>
        </w:rPr>
        <w:br/>
      </w:r>
      <w:r>
        <w:rPr>
          <w:rFonts w:ascii="Calibri" w:hAnsi="Calibri" w:cs="Calibri"/>
          <w:color w:val="000000"/>
          <w:bdr w:val="none" w:sz="0" w:space="0" w:color="auto" w:frame="1"/>
        </w:rPr>
        <w:br/>
      </w:r>
      <w:r>
        <w:rPr>
          <w:rFonts w:ascii="Calibri" w:hAnsi="Calibri" w:cs="Calibri"/>
          <w:b/>
          <w:bCs/>
          <w:color w:val="000000"/>
          <w:bdr w:val="none" w:sz="0" w:space="0" w:color="auto" w:frame="1"/>
        </w:rPr>
        <w:t>3.  </w:t>
      </w:r>
      <w:r>
        <w:rPr>
          <w:rFonts w:ascii="Calibri" w:hAnsi="Calibri" w:cs="Calibri"/>
          <w:b/>
          <w:bCs/>
          <w:color w:val="000000"/>
          <w:u w:val="single"/>
          <w:bdr w:val="none" w:sz="0" w:space="0" w:color="auto" w:frame="1"/>
        </w:rPr>
        <w:t>Schools and Childcare Centers:</w:t>
      </w:r>
      <w:r>
        <w:rPr>
          <w:rFonts w:ascii="Calibri" w:hAnsi="Calibri" w:cs="Calibri"/>
          <w:b/>
          <w:bCs/>
          <w:color w:val="000000"/>
          <w:bdr w:val="none" w:sz="0" w:space="0" w:color="auto" w:frame="1"/>
        </w:rPr>
        <w:t>  </w:t>
      </w:r>
      <w:r>
        <w:rPr>
          <w:rFonts w:ascii="Calibri" w:hAnsi="Calibri" w:cs="Calibri"/>
          <w:color w:val="000000"/>
          <w:bdr w:val="none" w:sz="0" w:space="0" w:color="auto" w:frame="1"/>
        </w:rPr>
        <w:t>Due to the mildness of the flu season the DPH has </w:t>
      </w:r>
      <w:r>
        <w:rPr>
          <w:rFonts w:ascii="Calibri" w:hAnsi="Calibri" w:cs="Calibri"/>
          <w:b/>
          <w:bCs/>
          <w:color w:val="000000"/>
          <w:bdr w:val="none" w:sz="0" w:space="0" w:color="auto" w:frame="1"/>
        </w:rPr>
        <w:t>removed the requirement</w:t>
      </w:r>
      <w:r>
        <w:rPr>
          <w:rFonts w:ascii="Calibri" w:hAnsi="Calibri" w:cs="Calibri"/>
          <w:color w:val="000000"/>
          <w:bdr w:val="none" w:sz="0" w:space="0" w:color="auto" w:frame="1"/>
        </w:rPr>
        <w:t xml:space="preserve"> that all school children receive a flu vaccination on or </w:t>
      </w:r>
      <w:r>
        <w:rPr>
          <w:rFonts w:ascii="Calibri" w:hAnsi="Calibri" w:cs="Calibri"/>
          <w:color w:val="000000"/>
          <w:bdr w:val="none" w:sz="0" w:space="0" w:color="auto" w:frame="1"/>
        </w:rPr>
        <w:lastRenderedPageBreak/>
        <w:t>before 2/28/21.  </w:t>
      </w:r>
      <w:r>
        <w:rPr>
          <w:rFonts w:ascii="Calibri" w:hAnsi="Calibri" w:cs="Calibri"/>
          <w:b/>
          <w:bCs/>
          <w:color w:val="000000"/>
          <w:bdr w:val="none" w:sz="0" w:space="0" w:color="auto" w:frame="1"/>
        </w:rPr>
        <w:t>School districts remain in a hybrid learning model.</w:t>
      </w:r>
      <w:r>
        <w:rPr>
          <w:rFonts w:ascii="Calibri" w:hAnsi="Calibri" w:cs="Calibri"/>
          <w:color w:val="000000"/>
          <w:sz w:val="22"/>
          <w:szCs w:val="22"/>
          <w:bdr w:val="none" w:sz="0" w:space="0" w:color="auto" w:frame="1"/>
        </w:rPr>
        <w:t>  </w:t>
      </w:r>
      <w:r>
        <w:rPr>
          <w:rFonts w:ascii="Calibri" w:hAnsi="Calibri" w:cs="Calibri"/>
          <w:color w:val="000000"/>
          <w:bdr w:val="none" w:sz="0" w:space="0" w:color="auto" w:frame="1"/>
        </w:rPr>
        <w:t>However</w:t>
      </w:r>
      <w:r>
        <w:rPr>
          <w:rFonts w:ascii="Calibri" w:hAnsi="Calibri" w:cs="Calibri"/>
          <w:color w:val="000000"/>
          <w:sz w:val="22"/>
          <w:szCs w:val="22"/>
          <w:bdr w:val="none" w:sz="0" w:space="0" w:color="auto" w:frame="1"/>
        </w:rPr>
        <w:t>, </w:t>
      </w:r>
      <w:r>
        <w:rPr>
          <w:rFonts w:ascii="Calibri" w:hAnsi="Calibri" w:cs="Calibri"/>
          <w:b/>
          <w:bCs/>
          <w:color w:val="000000"/>
          <w:bdr w:val="none" w:sz="0" w:space="0" w:color="auto" w:frame="1"/>
          <w:shd w:val="clear" w:color="auto" w:fill="FFFFFF"/>
        </w:rPr>
        <w:t>DESE Commissioner Jeffrey Riley has announced plans which will compel schools to return to 100% in-person learning, starting with elementary schools, in April.</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4.  </w:t>
      </w:r>
      <w:r>
        <w:rPr>
          <w:rFonts w:ascii="Calibri" w:hAnsi="Calibri" w:cs="Calibri"/>
          <w:b/>
          <w:bCs/>
          <w:color w:val="000000"/>
          <w:u w:val="single"/>
          <w:bdr w:val="none" w:sz="0" w:space="0" w:color="auto" w:frame="1"/>
        </w:rPr>
        <w:t>Testing; </w:t>
      </w:r>
      <w:r>
        <w:rPr>
          <w:rFonts w:ascii="Calibri" w:hAnsi="Calibri" w:cs="Calibri"/>
          <w:b/>
          <w:bCs/>
          <w:color w:val="000000"/>
          <w:u w:val="single"/>
          <w:bdr w:val="none" w:sz="0" w:space="0" w:color="auto" w:frame="1"/>
          <w:shd w:val="clear" w:color="auto" w:fill="FFFF80"/>
        </w:rPr>
        <w:t>Test Positivity Rates</w:t>
      </w:r>
      <w:r>
        <w:rPr>
          <w:rFonts w:ascii="Calibri" w:hAnsi="Calibri" w:cs="Calibri"/>
          <w:b/>
          <w:bCs/>
          <w:color w:val="000000"/>
          <w:bdr w:val="none" w:sz="0" w:space="0" w:color="auto" w:frame="1"/>
          <w:shd w:val="clear" w:color="auto" w:fill="FFFF80"/>
        </w:rPr>
        <w:t> </w:t>
      </w:r>
      <w:r>
        <w:rPr>
          <w:rFonts w:ascii="Calibri" w:hAnsi="Calibri" w:cs="Calibri"/>
          <w:color w:val="000000"/>
          <w:bdr w:val="none" w:sz="0" w:space="0" w:color="auto" w:frame="1"/>
          <w:shd w:val="clear" w:color="auto" w:fill="FFFF80"/>
        </w:rPr>
        <w:t>(14-day, as of 3/17/21)</w:t>
      </w:r>
      <w:r>
        <w:rPr>
          <w:rFonts w:ascii="Calibri" w:hAnsi="Calibri" w:cs="Calibri"/>
          <w:b/>
          <w:bCs/>
          <w:color w:val="000000"/>
          <w:bdr w:val="none" w:sz="0" w:space="0" w:color="auto" w:frame="1"/>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rPr>
          <w:rFonts w:ascii="Calibri" w:hAnsi="Calibri" w:cs="Calibri"/>
          <w:color w:val="000000"/>
          <w:sz w:val="22"/>
          <w:szCs w:val="22"/>
        </w:rPr>
      </w:pPr>
      <w:r>
        <w:rPr>
          <w:rFonts w:ascii="Calibri" w:hAnsi="Calibri" w:cs="Calibri"/>
          <w:b/>
          <w:bCs/>
          <w:color w:val="000000"/>
          <w:bdr w:val="none" w:sz="0" w:space="0" w:color="auto" w:frame="1"/>
        </w:rPr>
        <w:t xml:space="preserve">Barnstable County:                     4.12% </w:t>
      </w:r>
      <w:r>
        <w:rPr>
          <w:rFonts w:ascii="Calibri" w:hAnsi="Calibri" w:cs="Calibri"/>
          <w:color w:val="000000"/>
          <w:bdr w:val="none" w:sz="0" w:space="0" w:color="auto" w:frame="1"/>
        </w:rPr>
        <w:t>(vs. 3.22%)</w:t>
      </w:r>
      <w:r>
        <w:rPr>
          <w:rFonts w:ascii="Calibri" w:hAnsi="Calibri" w:cs="Calibri"/>
          <w:color w:val="000000"/>
          <w:sz w:val="22"/>
          <w:szCs w:val="22"/>
          <w:bdr w:val="none" w:sz="0" w:space="0" w:color="auto" w:frame="1"/>
        </w:rPr>
        <w:t>  </w:t>
      </w:r>
      <w:r>
        <w:rPr>
          <w:rFonts w:ascii="Calibri" w:hAnsi="Calibri" w:cs="Calibri"/>
          <w:color w:val="000000"/>
          <w:bdr w:val="none" w:sz="0" w:space="0" w:color="auto" w:frame="1"/>
        </w:rPr>
        <w:t>(</w:t>
      </w:r>
      <w:proofErr w:type="gramStart"/>
      <w:r>
        <w:rPr>
          <w:rFonts w:ascii="Calibri" w:hAnsi="Calibri" w:cs="Calibri"/>
          <w:color w:val="C82613"/>
          <w:bdr w:val="none" w:sz="0" w:space="0" w:color="auto" w:frame="1"/>
        </w:rPr>
        <w:t>higher</w:t>
      </w:r>
      <w:proofErr w:type="gramEnd"/>
      <w:r>
        <w:rPr>
          <w:rFonts w:ascii="Calibri" w:hAnsi="Calibri" w:cs="Calibri"/>
          <w:color w:val="C82613"/>
          <w:bdr w:val="none" w:sz="0" w:space="0" w:color="auto" w:frame="1"/>
        </w:rPr>
        <w:t> </w:t>
      </w:r>
      <w:r>
        <w:rPr>
          <w:rFonts w:ascii="Calibri" w:hAnsi="Calibri" w:cs="Calibri"/>
          <w:color w:val="000000"/>
          <w:bdr w:val="none" w:sz="0" w:space="0" w:color="auto" w:frame="1"/>
        </w:rPr>
        <w:t>vs. previous fortnight)</w:t>
      </w:r>
      <w:r>
        <w:rPr>
          <w:rFonts w:ascii="Calibri" w:hAnsi="Calibri" w:cs="Calibri"/>
          <w:color w:val="000000"/>
        </w:rPr>
        <w:t> </w:t>
      </w:r>
    </w:p>
    <w:p w:rsidR="001C0DC4" w:rsidRDefault="001C0DC4" w:rsidP="001C0DC4">
      <w:pPr>
        <w:pStyle w:val="xxxxxxmsonormal"/>
        <w:rPr>
          <w:rFonts w:ascii="Calibri" w:hAnsi="Calibri" w:cs="Calibri"/>
          <w:color w:val="000000"/>
          <w:sz w:val="22"/>
          <w:szCs w:val="22"/>
        </w:rPr>
      </w:pPr>
      <w:r>
        <w:rPr>
          <w:rFonts w:ascii="Calibri" w:hAnsi="Calibri" w:cs="Calibri"/>
          <w:b/>
          <w:bCs/>
          <w:color w:val="000000"/>
          <w:bdr w:val="none" w:sz="0" w:space="0" w:color="auto" w:frame="1"/>
          <w:shd w:val="clear" w:color="auto" w:fill="FFFFFF"/>
        </w:rPr>
        <w:t xml:space="preserve">Dukes &amp; Nantucket Counties:   2.32% </w:t>
      </w:r>
      <w:r>
        <w:rPr>
          <w:rFonts w:ascii="Calibri" w:hAnsi="Calibri" w:cs="Calibri"/>
          <w:color w:val="000000"/>
          <w:bdr w:val="none" w:sz="0" w:space="0" w:color="auto" w:frame="1"/>
          <w:shd w:val="clear" w:color="auto" w:fill="FFFFFF"/>
        </w:rPr>
        <w:t>(vs. 1.53%)  (</w:t>
      </w:r>
      <w:proofErr w:type="gramStart"/>
      <w:r>
        <w:rPr>
          <w:rFonts w:ascii="Calibri" w:hAnsi="Calibri" w:cs="Calibri"/>
          <w:color w:val="C82613"/>
          <w:bdr w:val="none" w:sz="0" w:space="0" w:color="auto" w:frame="1"/>
          <w:shd w:val="clear" w:color="auto" w:fill="FFFFFF"/>
        </w:rPr>
        <w:t>higher</w:t>
      </w:r>
      <w:proofErr w:type="gramEnd"/>
      <w:r>
        <w:rPr>
          <w:rFonts w:ascii="Calibri" w:hAnsi="Calibri" w:cs="Calibri"/>
          <w:color w:val="000000"/>
          <w:bdr w:val="none" w:sz="0" w:space="0" w:color="auto" w:frame="1"/>
          <w:shd w:val="clear" w:color="auto" w:fill="FFFFFF"/>
        </w:rPr>
        <w:t>)</w:t>
      </w:r>
    </w:p>
    <w:p w:rsidR="001C0DC4" w:rsidRDefault="001C0DC4" w:rsidP="001C0DC4">
      <w:pPr>
        <w:pStyle w:val="xxxxxxmsonormal"/>
        <w:rPr>
          <w:rFonts w:ascii="Calibri" w:hAnsi="Calibri" w:cs="Calibri"/>
          <w:color w:val="000000"/>
          <w:sz w:val="22"/>
          <w:szCs w:val="22"/>
        </w:rPr>
      </w:pPr>
      <w:r>
        <w:rPr>
          <w:rFonts w:ascii="Calibri" w:hAnsi="Calibri" w:cs="Calibri"/>
          <w:color w:val="000000"/>
          <w:bdr w:val="none" w:sz="0" w:space="0" w:color="auto" w:frame="1"/>
        </w:rPr>
        <w:br/>
      </w:r>
      <w:r>
        <w:rPr>
          <w:rFonts w:ascii="Calibri" w:hAnsi="Calibri" w:cs="Calibri"/>
          <w:color w:val="000000"/>
        </w:rPr>
        <w:t> </w:t>
      </w:r>
      <w:r>
        <w:rPr>
          <w:rFonts w:ascii="Calibri" w:hAnsi="Calibri" w:cs="Calibri"/>
          <w:color w:val="000000"/>
          <w:sz w:val="22"/>
          <w:szCs w:val="22"/>
          <w:bdr w:val="none" w:sz="0" w:space="0" w:color="auto" w:frame="1"/>
        </w:rPr>
        <w:t> </w:t>
      </w:r>
      <w:r>
        <w:rPr>
          <w:rFonts w:ascii="Calibri" w:hAnsi="Calibri" w:cs="Calibri"/>
          <w:color w:val="000000"/>
          <w:bdr w:val="none" w:sz="0" w:space="0" w:color="auto" w:frame="1"/>
        </w:rPr>
        <w:t>      A test percent positivity rate below 5% suggests that an outbreak is on the way to </w:t>
      </w:r>
      <w:r>
        <w:rPr>
          <w:rFonts w:ascii="Calibri" w:hAnsi="Calibri" w:cs="Calibri"/>
          <w:b/>
          <w:bCs/>
          <w:color w:val="000000"/>
          <w:bdr w:val="none" w:sz="0" w:space="0" w:color="auto" w:frame="1"/>
          <w:shd w:val="clear" w:color="auto" w:fill="FFFF80"/>
        </w:rPr>
        <w:t>containment</w:t>
      </w:r>
      <w:r>
        <w:rPr>
          <w:rFonts w:ascii="Calibri" w:hAnsi="Calibri" w:cs="Calibri"/>
          <w:color w:val="000000"/>
          <w:bdr w:val="none" w:sz="0" w:space="0" w:color="auto" w:frame="1"/>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5.  </w:t>
      </w:r>
      <w:r>
        <w:rPr>
          <w:rFonts w:ascii="Calibri" w:hAnsi="Calibri" w:cs="Calibri"/>
          <w:b/>
          <w:bCs/>
          <w:color w:val="000000"/>
          <w:u w:val="single"/>
          <w:bdr w:val="none" w:sz="0" w:space="0" w:color="auto" w:frame="1"/>
        </w:rPr>
        <w:t>Weekly Town Risk, and Statewide Cluster Analyses</w:t>
      </w:r>
      <w:r>
        <w:rPr>
          <w:rFonts w:ascii="Calibri" w:hAnsi="Calibri" w:cs="Calibri"/>
          <w:color w:val="000000"/>
          <w:bdr w:val="none" w:sz="0" w:space="0" w:color="auto" w:frame="1"/>
        </w:rPr>
        <w:t>:  See charts below (analysis of 3/11/21 data is pending).</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6.  </w:t>
      </w:r>
      <w:r>
        <w:rPr>
          <w:rFonts w:ascii="Calibri" w:hAnsi="Calibri" w:cs="Calibri"/>
          <w:b/>
          <w:bCs/>
          <w:color w:val="000000"/>
          <w:u w:val="single"/>
          <w:bdr w:val="none" w:sz="0" w:space="0" w:color="auto" w:frame="1"/>
        </w:rPr>
        <w:t>Vaccination:</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FFFFFF"/>
          <w:bdr w:val="none" w:sz="0" w:space="0" w:color="auto" w:frame="1"/>
          <w:shd w:val="clear" w:color="auto" w:fill="FFFFFF"/>
        </w:rPr>
        <w:t>​</w:t>
      </w:r>
      <w:r>
        <w:rPr>
          <w:rFonts w:ascii="Calibri" w:hAnsi="Calibri" w:cs="Calibri"/>
          <w:color w:val="000000"/>
          <w:bdr w:val="none" w:sz="0" w:space="0" w:color="auto" w:frame="1"/>
          <w:shd w:val="clear" w:color="auto" w:fill="FFFFFF"/>
        </w:rPr>
        <w:t>     -Groups eligible for vaccination now are those in Phase 1, and Phase 2/Group 1 (persons aged 75+), and Phase 2/Group 2 (65+, 2+ comorbidities, residents and staff of low-income senior housing), and (effective 3/11) Phase 2/Group 3 --K-12 and early education/childcare teachers and staff, </w:t>
      </w:r>
      <w:r>
        <w:rPr>
          <w:rFonts w:ascii="Calibri" w:hAnsi="Calibri" w:cs="Calibri"/>
          <w:b/>
          <w:bCs/>
          <w:color w:val="000000"/>
          <w:bdr w:val="none" w:sz="0" w:space="0" w:color="auto" w:frame="1"/>
          <w:shd w:val="clear" w:color="auto" w:fill="FFFFFF"/>
        </w:rPr>
        <w:t>depending upon availability of vaccine.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    -</w:t>
      </w:r>
      <w:r>
        <w:rPr>
          <w:rFonts w:ascii="Calibri" w:hAnsi="Calibri" w:cs="Calibri"/>
          <w:color w:val="000000"/>
          <w:bdr w:val="none" w:sz="0" w:space="0" w:color="auto" w:frame="1"/>
          <w:shd w:val="clear" w:color="auto" w:fill="FFFF00"/>
        </w:rPr>
        <w:t>Caregivers </w:t>
      </w:r>
      <w:r>
        <w:rPr>
          <w:rFonts w:ascii="Calibri" w:hAnsi="Calibri" w:cs="Calibri"/>
          <w:color w:val="000000"/>
          <w:bdr w:val="none" w:sz="0" w:space="0" w:color="auto" w:frame="1"/>
        </w:rPr>
        <w:t>(regardless of age) </w:t>
      </w:r>
      <w:r>
        <w:rPr>
          <w:rFonts w:ascii="Calibri" w:hAnsi="Calibri" w:cs="Calibri"/>
          <w:color w:val="000000"/>
          <w:bdr w:val="none" w:sz="0" w:space="0" w:color="auto" w:frame="1"/>
          <w:shd w:val="clear" w:color="auto" w:fill="FFFF80"/>
        </w:rPr>
        <w:t>accompanying a 75+ person to their vaccination appointment remain eligible for vaccination</w:t>
      </w:r>
      <w:r>
        <w:rPr>
          <w:rFonts w:ascii="Calibri" w:hAnsi="Calibri" w:cs="Calibri"/>
          <w:color w:val="000000"/>
          <w:bdr w:val="none" w:sz="0" w:space="0" w:color="auto" w:frame="1"/>
        </w:rPr>
        <w:t> and can receive vaccination under these circumstances at </w:t>
      </w:r>
      <w:r>
        <w:rPr>
          <w:rFonts w:ascii="Calibri" w:hAnsi="Calibri" w:cs="Calibri"/>
          <w:b/>
          <w:bCs/>
          <w:color w:val="000000"/>
          <w:bdr w:val="none" w:sz="0" w:space="0" w:color="auto" w:frame="1"/>
        </w:rPr>
        <w:t>DPH mass vaccination sites</w:t>
      </w:r>
      <w:r>
        <w:rPr>
          <w:rFonts w:ascii="Calibri" w:hAnsi="Calibri" w:cs="Calibri"/>
          <w:color w:val="000000"/>
          <w:bdr w:val="none" w:sz="0" w:space="0" w:color="auto" w:frame="1"/>
        </w:rPr>
        <w:t>.  Local vaccination clinics </w:t>
      </w:r>
      <w:r>
        <w:rPr>
          <w:rFonts w:ascii="Calibri" w:hAnsi="Calibri" w:cs="Calibri"/>
          <w:color w:val="000000"/>
          <w:u w:val="single"/>
          <w:bdr w:val="none" w:sz="0" w:space="0" w:color="auto" w:frame="1"/>
        </w:rPr>
        <w:t>may </w:t>
      </w:r>
      <w:r>
        <w:rPr>
          <w:rFonts w:ascii="Calibri" w:hAnsi="Calibri" w:cs="Calibri"/>
          <w:color w:val="000000"/>
          <w:bdr w:val="none" w:sz="0" w:space="0" w:color="auto" w:frame="1"/>
        </w:rPr>
        <w:t>also allow this, but most are not doing so because of constrained vaccine supplies.</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sz w:val="22"/>
          <w:szCs w:val="22"/>
          <w:bdr w:val="none" w:sz="0" w:space="0" w:color="auto" w:frame="1"/>
          <w:shd w:val="clear" w:color="auto" w:fill="FFFFFF"/>
        </w:rPr>
        <w:t>​     </w:t>
      </w:r>
      <w:r>
        <w:rPr>
          <w:rFonts w:ascii="Calibri" w:hAnsi="Calibri" w:cs="Calibri"/>
          <w:color w:val="000000"/>
          <w:bdr w:val="none" w:sz="0" w:space="0" w:color="auto" w:frame="1"/>
          <w:shd w:val="clear" w:color="auto" w:fill="FFFFFF"/>
        </w:rPr>
        <w:t>​-Phase 2 of the State Vaccination Plan began on February 1.  </w:t>
      </w:r>
      <w:r>
        <w:rPr>
          <w:rFonts w:ascii="Calibri" w:hAnsi="Calibri" w:cs="Calibri"/>
          <w:b/>
          <w:bCs/>
          <w:color w:val="000000"/>
          <w:bdr w:val="none" w:sz="0" w:space="0" w:color="auto" w:frame="1"/>
          <w:shd w:val="clear" w:color="auto" w:fill="FFFFFF"/>
        </w:rPr>
        <w:t>On March 11th K-12 teachers and staff and childcare teachers and staff became eligible for vaccination.</w:t>
      </w:r>
      <w:r>
        <w:rPr>
          <w:rFonts w:ascii="Calibri" w:hAnsi="Calibri" w:cs="Calibri"/>
          <w:color w:val="000000"/>
          <w:sz w:val="22"/>
          <w:szCs w:val="22"/>
          <w:shd w:val="clear" w:color="auto" w:fill="FFFFFF"/>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-Vaccination at local clinics during Phase 2 are by appointment only and </w:t>
      </w:r>
      <w:r>
        <w:rPr>
          <w:rFonts w:ascii="Calibri" w:hAnsi="Calibri" w:cs="Calibri"/>
          <w:b/>
          <w:bCs/>
          <w:color w:val="000000"/>
          <w:bdr w:val="none" w:sz="0" w:space="0" w:color="auto" w:frame="1"/>
          <w:shd w:val="clear" w:color="auto" w:fill="FFFFFF"/>
        </w:rPr>
        <w:t>appointments are announced and able to be scheduled once County and local health authorities are sure of vaccine availability from the DPH</w:t>
      </w:r>
      <w:r>
        <w:rPr>
          <w:rFonts w:ascii="Calibri" w:hAnsi="Calibri" w:cs="Calibri"/>
          <w:color w:val="000000"/>
          <w:bdr w:val="none" w:sz="0" w:space="0" w:color="auto" w:frame="1"/>
          <w:shd w:val="clear" w:color="auto" w:fill="FFFFFF"/>
        </w:rPr>
        <w:t>.  The public is being given notice of planned vaccination clinics for eligible persons in Phase 2.  </w:t>
      </w:r>
      <w:r>
        <w:rPr>
          <w:rFonts w:ascii="Calibri" w:hAnsi="Calibri" w:cs="Calibri"/>
          <w:color w:val="000000"/>
          <w:sz w:val="22"/>
          <w:szCs w:val="22"/>
        </w:rPr>
        <w:t> </w:t>
      </w:r>
    </w:p>
    <w:p w:rsidR="001C0DC4" w:rsidRDefault="001C0DC4" w:rsidP="001C0DC4">
      <w:pPr>
        <w:pStyle w:val="xxxxxxmsonormal"/>
        <w:rPr>
          <w:rFonts w:ascii="Calibri" w:hAnsi="Calibri" w:cs="Calibri"/>
          <w:color w:val="000000"/>
          <w:sz w:val="22"/>
          <w:szCs w:val="22"/>
        </w:rPr>
      </w:pPr>
      <w:r>
        <w:rPr>
          <w:rFonts w:ascii="Calibri" w:hAnsi="Calibri" w:cs="Calibri"/>
          <w:color w:val="000000"/>
          <w:sz w:val="21"/>
          <w:szCs w:val="21"/>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-Plans for 4-5 sub-regional mass vaccination sites on Cape Cod, for operation during Phase 2, are in place.  </w:t>
      </w:r>
      <w:r>
        <w:rPr>
          <w:rFonts w:ascii="Calibri" w:hAnsi="Calibri" w:cs="Calibri"/>
          <w:color w:val="000000"/>
          <w:bdr w:val="none" w:sz="0" w:space="0" w:color="auto" w:frame="1"/>
          <w:shd w:val="clear" w:color="auto" w:fill="FFFF00"/>
        </w:rPr>
        <w:t>A </w:t>
      </w:r>
      <w:r>
        <w:rPr>
          <w:rFonts w:ascii="Calibri" w:hAnsi="Calibri" w:cs="Calibri"/>
          <w:b/>
          <w:bCs/>
          <w:color w:val="000000"/>
          <w:bdr w:val="none" w:sz="0" w:space="0" w:color="auto" w:frame="1"/>
          <w:shd w:val="clear" w:color="auto" w:fill="FFFF00"/>
        </w:rPr>
        <w:t>Cape Cod Regional Vaccine Consortium</w:t>
      </w:r>
      <w:r>
        <w:rPr>
          <w:rFonts w:ascii="Calibri" w:hAnsi="Calibri" w:cs="Calibri"/>
          <w:color w:val="000000"/>
          <w:bdr w:val="none" w:sz="0" w:space="0" w:color="auto" w:frame="1"/>
          <w:shd w:val="clear" w:color="auto" w:fill="FFFFFF"/>
        </w:rPr>
        <w:t xml:space="preserve"> has been established via a partnership between the Barnstable County Health </w:t>
      </w:r>
      <w:proofErr w:type="spellStart"/>
      <w:r>
        <w:rPr>
          <w:rFonts w:ascii="Calibri" w:hAnsi="Calibri" w:cs="Calibri"/>
          <w:color w:val="000000"/>
          <w:bdr w:val="none" w:sz="0" w:space="0" w:color="auto" w:frame="1"/>
          <w:shd w:val="clear" w:color="auto" w:fill="FFFFFF"/>
        </w:rPr>
        <w:t>Dept</w:t>
      </w:r>
      <w:proofErr w:type="spellEnd"/>
      <w:r>
        <w:rPr>
          <w:rFonts w:ascii="Calibri" w:hAnsi="Calibri" w:cs="Calibri"/>
          <w:color w:val="000000"/>
          <w:bdr w:val="none" w:sz="0" w:space="0" w:color="auto" w:frame="1"/>
          <w:shd w:val="clear" w:color="auto" w:fill="FFFFFF"/>
        </w:rPr>
        <w:t>, Local Town Boards of Health (LBOHs), Community Health Centers (CHCs), and Cape Cod Healthcare, and has received support from the DPH.  The Consortium has established a </w:t>
      </w:r>
      <w:r>
        <w:rPr>
          <w:rFonts w:ascii="Calibri" w:hAnsi="Calibri" w:cs="Calibri"/>
          <w:b/>
          <w:bCs/>
          <w:color w:val="000000"/>
          <w:bdr w:val="none" w:sz="0" w:space="0" w:color="auto" w:frame="1"/>
          <w:shd w:val="clear" w:color="auto" w:fill="FFFFFF"/>
        </w:rPr>
        <w:t>vaccination site at Cape Cod Community College</w:t>
      </w:r>
      <w:r>
        <w:rPr>
          <w:rFonts w:ascii="Calibri" w:hAnsi="Calibri" w:cs="Calibri"/>
          <w:color w:val="000000"/>
          <w:bdr w:val="none" w:sz="0" w:space="0" w:color="auto" w:frame="1"/>
          <w:shd w:val="clear" w:color="auto" w:fill="FFFFFF"/>
        </w:rPr>
        <w:t> (which opened this week) and is also working with LBOHs and CHC to </w:t>
      </w:r>
      <w:r>
        <w:rPr>
          <w:rFonts w:ascii="Calibri" w:hAnsi="Calibri" w:cs="Calibri"/>
          <w:b/>
          <w:bCs/>
          <w:color w:val="000000"/>
          <w:bdr w:val="none" w:sz="0" w:space="0" w:color="auto" w:frame="1"/>
          <w:shd w:val="clear" w:color="auto" w:fill="FFFFFF"/>
        </w:rPr>
        <w:t>organize in-reach to homebound persons</w:t>
      </w:r>
      <w:r>
        <w:rPr>
          <w:rFonts w:ascii="Calibri" w:hAnsi="Calibri" w:cs="Calibri"/>
          <w:color w:val="000000"/>
          <w:bdr w:val="none" w:sz="0" w:space="0" w:color="auto" w:frame="1"/>
          <w:shd w:val="clear" w:color="auto" w:fill="FFFFFF"/>
        </w:rPr>
        <w:t> to vaccinate them.  </w:t>
      </w:r>
      <w:r>
        <w:rPr>
          <w:rFonts w:ascii="Calibri" w:hAnsi="Calibri" w:cs="Calibri"/>
          <w:b/>
          <w:bCs/>
          <w:color w:val="000000"/>
          <w:bdr w:val="none" w:sz="0" w:space="0" w:color="auto" w:frame="1"/>
          <w:shd w:val="clear" w:color="auto" w:fill="FFFFFF"/>
        </w:rPr>
        <w:t>The DPH is responsible for providing sufficient vaccine in order for the Consortium to reach its full potential.</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w:t>
      </w:r>
      <w:r>
        <w:rPr>
          <w:rFonts w:ascii="Calibri" w:hAnsi="Calibri" w:cs="Calibri"/>
          <w:b/>
          <w:bCs/>
          <w:color w:val="000000"/>
          <w:bdr w:val="none" w:sz="0" w:space="0" w:color="auto" w:frame="1"/>
          <w:shd w:val="clear" w:color="auto" w:fill="FFFFFF"/>
        </w:rPr>
        <w:t>The DPH has begun reporting vaccination progress age group and by town</w:t>
      </w:r>
      <w:r>
        <w:rPr>
          <w:rFonts w:ascii="Calibri" w:hAnsi="Calibri" w:cs="Calibri"/>
          <w:color w:val="000000"/>
          <w:bdr w:val="none" w:sz="0" w:space="0" w:color="auto" w:frame="1"/>
          <w:shd w:val="clear" w:color="auto" w:fill="FFFFFF"/>
        </w:rPr>
        <w:t>.  Below is a summary table for Barnstable County by age group.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lastRenderedPageBreak/>
        <w:t>7.  </w:t>
      </w:r>
      <w:r>
        <w:rPr>
          <w:rFonts w:ascii="Calibri" w:hAnsi="Calibri" w:cs="Calibri"/>
          <w:b/>
          <w:bCs/>
          <w:color w:val="000000"/>
          <w:u w:val="single"/>
          <w:bdr w:val="none" w:sz="0" w:space="0" w:color="auto" w:frame="1"/>
        </w:rPr>
        <w:t>COVID Mutation</w:t>
      </w:r>
      <w:r>
        <w:rPr>
          <w:rFonts w:ascii="Calibri" w:hAnsi="Calibri" w:cs="Calibri"/>
          <w:color w:val="000000"/>
          <w:u w:val="single"/>
          <w:bdr w:val="none" w:sz="0" w:space="0" w:color="auto" w:frame="1"/>
        </w:rPr>
        <w:t> and Changes in Transmissibility/Virulence/Other</w:t>
      </w:r>
      <w:r>
        <w:rPr>
          <w:rFonts w:ascii="Calibri" w:hAnsi="Calibri" w:cs="Calibri"/>
          <w:color w:val="000000"/>
          <w:bdr w:val="none" w:sz="0" w:space="0" w:color="auto" w:frame="1"/>
        </w:rPr>
        <w:t>:  </w:t>
      </w:r>
      <w:r>
        <w:rPr>
          <w:rFonts w:ascii="Calibri" w:hAnsi="Calibri" w:cs="Calibri"/>
          <w:b/>
          <w:bCs/>
          <w:color w:val="000000"/>
          <w:bdr w:val="none" w:sz="0" w:space="0" w:color="auto" w:frame="1"/>
        </w:rPr>
        <w:t>There are </w:t>
      </w:r>
      <w:r>
        <w:rPr>
          <w:rFonts w:ascii="Calibri" w:hAnsi="Calibri" w:cs="Calibri"/>
          <w:b/>
          <w:bCs/>
          <w:color w:val="000000"/>
          <w:bdr w:val="none" w:sz="0" w:space="0" w:color="auto" w:frame="1"/>
          <w:shd w:val="clear" w:color="auto" w:fill="80FFFF"/>
        </w:rPr>
        <w:t>four </w:t>
      </w:r>
      <w:r>
        <w:rPr>
          <w:rFonts w:ascii="Calibri" w:hAnsi="Calibri" w:cs="Calibri"/>
          <w:b/>
          <w:bCs/>
          <w:color w:val="000000"/>
          <w:bdr w:val="none" w:sz="0" w:space="0" w:color="auto" w:frame="1"/>
        </w:rPr>
        <w:t>variants of concern: </w:t>
      </w:r>
      <w:r>
        <w:rPr>
          <w:rFonts w:ascii="Calibri" w:hAnsi="Calibri" w:cs="Calibri"/>
          <w:b/>
          <w:bCs/>
          <w:color w:val="000000"/>
          <w:bdr w:val="none" w:sz="0" w:space="0" w:color="auto" w:frame="1"/>
          <w:shd w:val="clear" w:color="auto" w:fill="FFFFFF"/>
        </w:rPr>
        <w:t>B117 (UK), B1351 (S. Africa), P1 (Brazil), </w:t>
      </w:r>
      <w:r>
        <w:rPr>
          <w:rFonts w:ascii="Calibri" w:hAnsi="Calibri" w:cs="Calibri"/>
          <w:b/>
          <w:bCs/>
          <w:color w:val="000000"/>
          <w:bdr w:val="none" w:sz="0" w:space="0" w:color="auto" w:frame="1"/>
          <w:shd w:val="clear" w:color="auto" w:fill="80FFFF"/>
        </w:rPr>
        <w:t>and B1526 (New York City, </w:t>
      </w:r>
      <w:r>
        <w:rPr>
          <w:rFonts w:ascii="Calibri" w:hAnsi="Calibri" w:cs="Calibri"/>
          <w:color w:val="000000"/>
          <w:bdr w:val="none" w:sz="0" w:space="0" w:color="auto" w:frame="1"/>
          <w:shd w:val="clear" w:color="auto" w:fill="80FFFF"/>
        </w:rPr>
        <w:t>which emerged in November)</w:t>
      </w:r>
      <w:r>
        <w:rPr>
          <w:rFonts w:ascii="Calibri" w:hAnsi="Calibri" w:cs="Calibri"/>
          <w:color w:val="000000"/>
          <w:bdr w:val="none" w:sz="0" w:space="0" w:color="auto" w:frame="1"/>
          <w:shd w:val="clear" w:color="auto" w:fill="FFFFFF"/>
        </w:rPr>
        <w:t>.  All four appear to be significantly more transmissible than the virus which dominated Wave 1 of the pandemic. Within two months of the B117 variant being identified in the UK (October) it became the dominant strain circulating there.  The CDC is now posting surveillance information on the emergence of the B117 variant in the US:  </w:t>
      </w:r>
      <w:hyperlink r:id="rId18" w:history="1">
        <w:r>
          <w:rPr>
            <w:rStyle w:val="Hyperlink"/>
            <w:rFonts w:ascii="Calibri" w:hAnsi="Calibri" w:cs="Calibri"/>
            <w:bdr w:val="none" w:sz="0" w:space="0" w:color="auto" w:frame="1"/>
            <w:shd w:val="clear" w:color="auto" w:fill="FFFFFF"/>
          </w:rPr>
          <w:t>https://www.cdc.gov/coronavirus/2019-ncov/transmission/variant-cases.html</w:t>
        </w:r>
      </w:hyperlink>
      <w:r>
        <w:rPr>
          <w:rFonts w:ascii="Calibri" w:hAnsi="Calibri" w:cs="Calibri"/>
          <w:color w:val="000000"/>
          <w:bdr w:val="none" w:sz="0" w:space="0" w:color="auto" w:frame="1"/>
          <w:shd w:val="clear" w:color="auto" w:fill="FFFFFF"/>
        </w:rPr>
        <w:t>.​   Existing vaccines </w:t>
      </w:r>
      <w:r>
        <w:rPr>
          <w:rFonts w:ascii="Calibri" w:hAnsi="Calibri" w:cs="Calibri"/>
          <w:color w:val="000000"/>
          <w:u w:val="single"/>
          <w:bdr w:val="none" w:sz="0" w:space="0" w:color="auto" w:frame="1"/>
          <w:shd w:val="clear" w:color="auto" w:fill="FFFFFF"/>
        </w:rPr>
        <w:t>may </w:t>
      </w:r>
      <w:r>
        <w:rPr>
          <w:rFonts w:ascii="Calibri" w:hAnsi="Calibri" w:cs="Calibri"/>
          <w:color w:val="000000"/>
          <w:bdr w:val="none" w:sz="0" w:space="0" w:color="auto" w:frame="1"/>
          <w:shd w:val="clear" w:color="auto" w:fill="FFFFFF"/>
        </w:rPr>
        <w:t>be less effective against these new strains.  The degree to which this may be so is being investigated.  </w:t>
      </w:r>
      <w:proofErr w:type="spellStart"/>
      <w:r>
        <w:rPr>
          <w:rFonts w:ascii="Calibri" w:hAnsi="Calibri" w:cs="Calibri"/>
          <w:color w:val="000000"/>
          <w:bdr w:val="none" w:sz="0" w:space="0" w:color="auto" w:frame="1"/>
          <w:shd w:val="clear" w:color="auto" w:fill="FFFFFF"/>
        </w:rPr>
        <w:t>Moderna</w:t>
      </w:r>
      <w:proofErr w:type="spellEnd"/>
      <w:r>
        <w:rPr>
          <w:rFonts w:ascii="Calibri" w:hAnsi="Calibri" w:cs="Calibri"/>
          <w:color w:val="000000"/>
          <w:bdr w:val="none" w:sz="0" w:space="0" w:color="auto" w:frame="1"/>
          <w:shd w:val="clear" w:color="auto" w:fill="FFFFFF"/>
        </w:rPr>
        <w:t xml:space="preserve"> and Pfizer are working on a booster shot to counter these new strains.</w:t>
      </w:r>
      <w:r>
        <w:rPr>
          <w:rFonts w:ascii="Calibri" w:hAnsi="Calibri" w:cs="Calibri"/>
          <w:color w:val="000000"/>
          <w:bdr w:val="none" w:sz="0" w:space="0" w:color="auto" w:frame="1"/>
        </w:rPr>
        <w:t> </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-B1526 now accounts for 40% of new cases in NYC</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sz w:val="22"/>
          <w:szCs w:val="22"/>
          <w:shd w:val="clear" w:color="auto" w:fill="FFFFFF"/>
        </w:rPr>
        <w:t>    </w:t>
      </w:r>
      <w:r>
        <w:rPr>
          <w:rFonts w:ascii="Calibri" w:hAnsi="Calibri" w:cs="Calibri"/>
          <w:b/>
          <w:bCs/>
          <w:color w:val="000000"/>
          <w:sz w:val="22"/>
          <w:szCs w:val="22"/>
          <w:shd w:val="clear" w:color="auto" w:fill="FFFFFF"/>
        </w:rPr>
        <w:t> </w:t>
      </w:r>
      <w:r>
        <w:rPr>
          <w:rFonts w:ascii="Calibri" w:hAnsi="Calibri" w:cs="Calibri"/>
          <w:b/>
          <w:bCs/>
          <w:color w:val="000000"/>
          <w:bdr w:val="none" w:sz="0" w:space="0" w:color="auto" w:frame="1"/>
          <w:shd w:val="clear" w:color="auto" w:fill="FFFFFF"/>
        </w:rPr>
        <w:t>-B117 and B1351 have been identified in Massachusetts.</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shd w:val="clear" w:color="auto" w:fill="FFFF00"/>
        </w:rPr>
        <w:t>     -The first case of the Brazilian variant P1 has been announced in Massachusetts in Barnstable County.</w:t>
      </w:r>
    </w:p>
    <w:p w:rsidR="001C0DC4" w:rsidRDefault="001C0DC4" w:rsidP="001C0DC4">
      <w:pPr>
        <w:pStyle w:val="xxxxxxmsonormal"/>
        <w:shd w:val="clear" w:color="auto" w:fill="FFFFFF"/>
        <w:rPr>
          <w:rFonts w:ascii="Calibri" w:hAnsi="Calibri" w:cs="Calibri"/>
          <w:color w:val="000000"/>
          <w:sz w:val="22"/>
          <w:szCs w:val="22"/>
        </w:rPr>
      </w:pP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u w:val="single"/>
        </w:rPr>
        <w:t>REPORT DETAIL:</w:t>
      </w:r>
    </w:p>
    <w:p w:rsidR="001C0DC4" w:rsidRDefault="001C0DC4" w:rsidP="001C0DC4">
      <w:pPr>
        <w:pStyle w:val="xxxxxxmsonormal"/>
        <w:shd w:val="clear" w:color="auto" w:fill="FFFFFF"/>
        <w:rPr>
          <w:rFonts w:ascii="Calibri" w:hAnsi="Calibri" w:cs="Calibri"/>
          <w:color w:val="000000"/>
          <w:sz w:val="22"/>
          <w:szCs w:val="22"/>
        </w:rPr>
      </w:pP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t>1.  New Cases</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80"/>
        </w:rPr>
        <w:t>Daily new case numbers in Barnstable County are moving upward again</w:t>
      </w:r>
      <w:r>
        <w:rPr>
          <w:rFonts w:ascii="Calibri" w:hAnsi="Calibri" w:cs="Calibri"/>
          <w:color w:val="000000"/>
          <w:bdr w:val="none" w:sz="0" w:space="0" w:color="auto" w:frame="1"/>
        </w:rPr>
        <w:t xml:space="preserve">, following a major decline since the holiday season surge new cases are moving upward again, due to </w:t>
      </w:r>
      <w:r>
        <w:rPr>
          <w:rFonts w:ascii="Calibri" w:hAnsi="Calibri" w:cs="Calibri"/>
          <w:b/>
          <w:bCs/>
          <w:color w:val="000000"/>
          <w:bdr w:val="none" w:sz="0" w:space="0" w:color="auto" w:frame="1"/>
        </w:rPr>
        <w:t>significant case increases in the towns of Barnstable and Yarmouth</w:t>
      </w:r>
      <w:r>
        <w:rPr>
          <w:rFonts w:ascii="Calibri" w:hAnsi="Calibri" w:cs="Calibri"/>
          <w:color w:val="000000"/>
          <w:bdr w:val="none" w:sz="0" w:space="0" w:color="auto" w:frame="1"/>
        </w:rPr>
        <w:t>. </w:t>
      </w:r>
      <w:r>
        <w:rPr>
          <w:rFonts w:ascii="Calibri" w:hAnsi="Calibri" w:cs="Calibri"/>
          <w:b/>
          <w:bCs/>
          <w:color w:val="000000"/>
          <w:bdr w:val="none" w:sz="0" w:space="0" w:color="auto" w:frame="1"/>
        </w:rPr>
        <w:t> 290 cases </w:t>
      </w:r>
      <w:r>
        <w:rPr>
          <w:rFonts w:ascii="Calibri" w:hAnsi="Calibri" w:cs="Calibri"/>
          <w:color w:val="000000"/>
          <w:bdr w:val="none" w:sz="0" w:space="0" w:color="auto" w:frame="1"/>
        </w:rPr>
        <w:t xml:space="preserve">were reported over the weekend (Friday to Sunday, inclusive), nearly 100 more than were reported over the prior weekend.  The 7-day average new cases per 100,000 has increased to </w:t>
      </w:r>
      <w:r>
        <w:rPr>
          <w:rFonts w:ascii="Calibri" w:hAnsi="Calibri" w:cs="Calibri"/>
          <w:b/>
          <w:bCs/>
          <w:color w:val="000000"/>
          <w:bdr w:val="none" w:sz="0" w:space="0" w:color="auto" w:frame="1"/>
        </w:rPr>
        <w:t>37/100K</w:t>
      </w:r>
      <w:r>
        <w:rPr>
          <w:rFonts w:ascii="Calibri" w:hAnsi="Calibri" w:cs="Calibri"/>
          <w:color w:val="000000"/>
          <w:bdr w:val="none" w:sz="0" w:space="0" w:color="auto" w:frame="1"/>
        </w:rPr>
        <w:t>, with Barnstable County acquiring an </w:t>
      </w:r>
      <w:r>
        <w:rPr>
          <w:rFonts w:ascii="Calibri" w:hAnsi="Calibri" w:cs="Calibri"/>
          <w:b/>
          <w:bCs/>
          <w:color w:val="000000"/>
          <w:bdr w:val="none" w:sz="0" w:space="0" w:color="auto" w:frame="1"/>
        </w:rPr>
        <w:t>average of 78 cases per day over the past 7 days</w:t>
      </w:r>
      <w:r>
        <w:rPr>
          <w:rFonts w:ascii="Calibri" w:hAnsi="Calibri" w:cs="Calibri"/>
          <w:color w:val="000000"/>
          <w:bdr w:val="none" w:sz="0" w:space="0" w:color="auto" w:frame="1"/>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r>
      <w:r>
        <w:rPr>
          <w:rFonts w:ascii="Calibri" w:hAnsi="Calibri" w:cs="Calibri"/>
          <w:noProof/>
          <w:color w:val="000000"/>
          <w:bdr w:val="none" w:sz="0" w:space="0" w:color="auto" w:frame="1"/>
        </w:rPr>
        <w:drawing>
          <wp:inline distT="0" distB="0" distL="0" distR="0">
            <wp:extent cx="4648200" cy="2666677"/>
            <wp:effectExtent l="0" t="0" r="0" b="635"/>
            <wp:docPr id="5" name="Picture 5" descr="cid:0311776b-0782-4765-81b4-2e016040a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311776b-0782-4765-81b4-2e016040af0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660093" cy="2673500"/>
                    </a:xfrm>
                    <a:prstGeom prst="rect">
                      <a:avLst/>
                    </a:prstGeom>
                    <a:noFill/>
                    <a:ln>
                      <a:noFill/>
                    </a:ln>
                  </pic:spPr>
                </pic:pic>
              </a:graphicData>
            </a:graphic>
          </wp:inline>
        </w:drawing>
      </w:r>
      <w:r>
        <w:rPr>
          <w:rFonts w:ascii="Calibri" w:hAnsi="Calibri" w:cs="Calibri"/>
          <w:color w:val="000000"/>
          <w:bdr w:val="none" w:sz="0" w:space="0" w:color="auto" w:frame="1"/>
        </w:rPr>
        <w:br/>
      </w:r>
      <w:r>
        <w:rPr>
          <w:rFonts w:ascii="Calibri" w:hAnsi="Calibri" w:cs="Calibri"/>
          <w:color w:val="000000"/>
          <w:sz w:val="22"/>
          <w:szCs w:val="22"/>
        </w:rPr>
        <w:t> </w:t>
      </w:r>
      <w:r>
        <w:rPr>
          <w:rFonts w:ascii="Calibri" w:hAnsi="Calibri" w:cs="Calibri"/>
          <w:color w:val="000000"/>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lastRenderedPageBreak/>
        <w:t>Nantucket's </w:t>
      </w:r>
      <w:r>
        <w:rPr>
          <w:rFonts w:ascii="Calibri" w:hAnsi="Calibri" w:cs="Calibri"/>
          <w:color w:val="000000"/>
          <w:bdr w:val="none" w:sz="0" w:space="0" w:color="auto" w:frame="1"/>
          <w:shd w:val="clear" w:color="auto" w:fill="FFFF00"/>
        </w:rPr>
        <w:t>7-day average cases </w:t>
      </w:r>
      <w:r>
        <w:rPr>
          <w:rFonts w:ascii="Calibri" w:hAnsi="Calibri" w:cs="Calibri"/>
          <w:color w:val="000000"/>
          <w:u w:val="single"/>
          <w:bdr w:val="none" w:sz="0" w:space="0" w:color="auto" w:frame="1"/>
          <w:shd w:val="clear" w:color="auto" w:fill="FFFF00"/>
        </w:rPr>
        <w:t>per 100,000 population</w:t>
      </w:r>
      <w:r>
        <w:rPr>
          <w:rFonts w:ascii="Calibri" w:hAnsi="Calibri" w:cs="Calibri"/>
          <w:color w:val="000000"/>
          <w:bdr w:val="none" w:sz="0" w:space="0" w:color="auto" w:frame="1"/>
          <w:shd w:val="clear" w:color="auto" w:fill="FFFF00"/>
        </w:rPr>
        <w:t xml:space="preserve"> (now </w:t>
      </w:r>
      <w:r>
        <w:rPr>
          <w:rFonts w:ascii="Calibri" w:hAnsi="Calibri" w:cs="Calibri"/>
          <w:b/>
          <w:bCs/>
          <w:color w:val="000000"/>
          <w:bdr w:val="none" w:sz="0" w:space="0" w:color="auto" w:frame="1"/>
          <w:shd w:val="clear" w:color="auto" w:fill="FFFF00"/>
        </w:rPr>
        <w:t>24/100K</w:t>
      </w:r>
      <w:r>
        <w:rPr>
          <w:rFonts w:ascii="Calibri" w:hAnsi="Calibri" w:cs="Calibri"/>
          <w:color w:val="000000"/>
          <w:bdr w:val="none" w:sz="0" w:space="0" w:color="auto" w:frame="1"/>
          <w:shd w:val="clear" w:color="auto" w:fill="FFFF00"/>
        </w:rPr>
        <w:t>) has dropped since last week</w:t>
      </w:r>
      <w:r>
        <w:rPr>
          <w:rFonts w:ascii="Calibri" w:hAnsi="Calibri" w:cs="Calibri"/>
          <w:color w:val="000000"/>
          <w:bdr w:val="none" w:sz="0" w:space="0" w:color="auto" w:frame="1"/>
        </w:rPr>
        <w:t xml:space="preserve">.  On average (7-day) Nantucket is now picking up </w:t>
      </w:r>
      <w:r>
        <w:rPr>
          <w:rFonts w:ascii="Calibri" w:hAnsi="Calibri" w:cs="Calibri"/>
          <w:b/>
          <w:bCs/>
          <w:color w:val="000000"/>
          <w:bdr w:val="none" w:sz="0" w:space="0" w:color="auto" w:frame="1"/>
        </w:rPr>
        <w:t>3 </w:t>
      </w:r>
      <w:r>
        <w:rPr>
          <w:rFonts w:ascii="Calibri" w:hAnsi="Calibri" w:cs="Calibri"/>
          <w:color w:val="000000"/>
          <w:bdr w:val="none" w:sz="0" w:space="0" w:color="auto" w:frame="1"/>
        </w:rPr>
        <w:t xml:space="preserve">new cases per day.  </w:t>
      </w:r>
      <w:r>
        <w:rPr>
          <w:rFonts w:ascii="Calibri" w:hAnsi="Calibri" w:cs="Calibri"/>
          <w:b/>
          <w:bCs/>
          <w:color w:val="000000"/>
          <w:bdr w:val="none" w:sz="0" w:space="0" w:color="auto" w:frame="1"/>
        </w:rPr>
        <w:t>9</w:t>
      </w:r>
      <w:r>
        <w:rPr>
          <w:rFonts w:ascii="Calibri" w:hAnsi="Calibri" w:cs="Calibri"/>
          <w:b/>
          <w:bCs/>
          <w:color w:val="000000"/>
          <w:bdr w:val="none" w:sz="0" w:space="0" w:color="auto" w:frame="1"/>
          <w:shd w:val="clear" w:color="auto" w:fill="FFFFFF"/>
        </w:rPr>
        <w:t> cases </w:t>
      </w:r>
      <w:r>
        <w:rPr>
          <w:rFonts w:ascii="Calibri" w:hAnsi="Calibri" w:cs="Calibri"/>
          <w:color w:val="000000"/>
          <w:bdr w:val="none" w:sz="0" w:space="0" w:color="auto" w:frame="1"/>
          <w:shd w:val="clear" w:color="auto" w:fill="FFFFFF"/>
        </w:rPr>
        <w:t>were reported over the weekend (Friday to Sunday, inclusive).</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Martha's Vineyard's </w:t>
      </w:r>
      <w:r>
        <w:rPr>
          <w:rFonts w:ascii="Calibri" w:hAnsi="Calibri" w:cs="Calibri"/>
          <w:color w:val="000000"/>
          <w:bdr w:val="none" w:sz="0" w:space="0" w:color="auto" w:frame="1"/>
          <w:shd w:val="clear" w:color="auto" w:fill="FFFFFF"/>
        </w:rPr>
        <w:t>7-day average cases </w:t>
      </w:r>
      <w:r>
        <w:rPr>
          <w:rFonts w:ascii="Calibri" w:hAnsi="Calibri" w:cs="Calibri"/>
          <w:color w:val="000000"/>
          <w:u w:val="single"/>
          <w:bdr w:val="none" w:sz="0" w:space="0" w:color="auto" w:frame="1"/>
          <w:shd w:val="clear" w:color="auto" w:fill="FFFFFF"/>
        </w:rPr>
        <w:t>per 100,000 population</w:t>
      </w:r>
      <w:r>
        <w:rPr>
          <w:rFonts w:ascii="Calibri" w:hAnsi="Calibri" w:cs="Calibri"/>
          <w:color w:val="000000"/>
          <w:bdr w:val="none" w:sz="0" w:space="0" w:color="auto" w:frame="1"/>
          <w:shd w:val="clear" w:color="auto" w:fill="FFFFFF"/>
        </w:rPr>
        <w:t> (</w:t>
      </w:r>
      <w:r>
        <w:rPr>
          <w:rFonts w:ascii="Calibri" w:hAnsi="Calibri" w:cs="Calibri"/>
          <w:b/>
          <w:bCs/>
          <w:color w:val="000000"/>
          <w:bdr w:val="none" w:sz="0" w:space="0" w:color="auto" w:frame="1"/>
          <w:shd w:val="clear" w:color="auto" w:fill="FFFFFF"/>
        </w:rPr>
        <w:t>12/100K</w:t>
      </w:r>
      <w:r>
        <w:rPr>
          <w:rFonts w:ascii="Calibri" w:hAnsi="Calibri" w:cs="Calibri"/>
          <w:color w:val="000000"/>
          <w:bdr w:val="none" w:sz="0" w:space="0" w:color="auto" w:frame="1"/>
          <w:shd w:val="clear" w:color="auto" w:fill="FFFFFF"/>
        </w:rPr>
        <w:t xml:space="preserve">) remains low but has increased.  On average Dukes County is gaining approximately </w:t>
      </w:r>
      <w:r>
        <w:rPr>
          <w:rFonts w:ascii="Calibri" w:hAnsi="Calibri" w:cs="Calibri"/>
          <w:b/>
          <w:bCs/>
          <w:color w:val="000000"/>
          <w:bdr w:val="none" w:sz="0" w:space="0" w:color="auto" w:frame="1"/>
          <w:shd w:val="clear" w:color="auto" w:fill="FFFFFF"/>
        </w:rPr>
        <w:t>2</w:t>
      </w:r>
      <w:r>
        <w:rPr>
          <w:rFonts w:ascii="Calibri" w:hAnsi="Calibri" w:cs="Calibri"/>
          <w:color w:val="000000"/>
          <w:bdr w:val="none" w:sz="0" w:space="0" w:color="auto" w:frame="1"/>
          <w:shd w:val="clear" w:color="auto" w:fill="FFFFFF"/>
        </w:rPr>
        <w:t> new cases per day.</w:t>
      </w:r>
      <w:r>
        <w:rPr>
          <w:rFonts w:ascii="Calibri" w:hAnsi="Calibri" w:cs="Calibri"/>
          <w:b/>
          <w:bCs/>
          <w:color w:val="000000"/>
          <w:bdr w:val="none" w:sz="0" w:space="0" w:color="auto" w:frame="1"/>
          <w:shd w:val="clear" w:color="auto" w:fill="FFFFFF"/>
        </w:rPr>
        <w:t>  2 </w:t>
      </w:r>
      <w:r>
        <w:rPr>
          <w:rFonts w:ascii="Calibri" w:hAnsi="Calibri" w:cs="Calibri"/>
          <w:color w:val="000000"/>
          <w:bdr w:val="none" w:sz="0" w:space="0" w:color="auto" w:frame="1"/>
          <w:shd w:val="clear" w:color="auto" w:fill="FFFFFF"/>
        </w:rPr>
        <w:t xml:space="preserve">cases were reported </w:t>
      </w:r>
      <w:r>
        <w:rPr>
          <w:rFonts w:ascii="Calibri" w:hAnsi="Calibri" w:cs="Calibri"/>
          <w:color w:val="000000"/>
          <w:shd w:val="clear" w:color="auto" w:fill="FFFFFF"/>
        </w:rPr>
        <w:t>over the weekend (Friday to Sunday, inclusive).</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r>
        <w:rPr>
          <w:rFonts w:ascii="Calibri" w:hAnsi="Calibri" w:cs="Calibri"/>
          <w:b/>
          <w:bCs/>
          <w:color w:val="000000"/>
          <w:u w:val="single"/>
          <w:bdr w:val="none" w:sz="0" w:space="0" w:color="auto" w:frame="1"/>
        </w:rPr>
        <w:t>Trailing 14-Day Testing and Cases by County:</w:t>
      </w:r>
      <w:r>
        <w:rPr>
          <w:rFonts w:ascii="Calibri" w:hAnsi="Calibri" w:cs="Calibri"/>
          <w:color w:val="000000"/>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t>In the context of adequate availability of testing and contact tracing, which our three counties appear to have achieved, </w:t>
      </w:r>
      <w:r>
        <w:rPr>
          <w:rFonts w:ascii="Calibri" w:hAnsi="Calibri" w:cs="Calibri"/>
          <w:b/>
          <w:bCs/>
          <w:color w:val="000000"/>
          <w:bdr w:val="none" w:sz="0" w:space="0" w:color="auto" w:frame="1"/>
        </w:rPr>
        <w:t>a test percent positivity rate below 5% suggests that an outbreak is on the way to containment</w:t>
      </w:r>
      <w:r>
        <w:rPr>
          <w:rFonts w:ascii="Calibri" w:hAnsi="Calibri" w:cs="Calibri"/>
          <w:color w:val="000000"/>
          <w:bdr w:val="none" w:sz="0" w:space="0" w:color="auto" w:frame="1"/>
        </w:rPr>
        <w:t>.  Rates below 3% and 1% are further important containment milestones.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Test Positivity Rates (14-day, as of 3/17/21):</w:t>
      </w:r>
      <w:r>
        <w:rPr>
          <w:rFonts w:ascii="Calibri" w:hAnsi="Calibri" w:cs="Calibri"/>
          <w:color w:val="000000"/>
          <w:sz w:val="22"/>
          <w:szCs w:val="22"/>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Barnstable County:                      4.12% </w:t>
      </w:r>
      <w:r>
        <w:rPr>
          <w:rFonts w:ascii="Calibri" w:hAnsi="Calibri" w:cs="Calibri"/>
          <w:color w:val="000000"/>
          <w:bdr w:val="none" w:sz="0" w:space="0" w:color="auto" w:frame="1"/>
        </w:rPr>
        <w:t>(vs. 3.22%)</w:t>
      </w:r>
      <w:r>
        <w:rPr>
          <w:rFonts w:ascii="Calibri" w:hAnsi="Calibri" w:cs="Calibri"/>
          <w:color w:val="000000"/>
          <w:sz w:val="22"/>
          <w:szCs w:val="22"/>
          <w:bdr w:val="none" w:sz="0" w:space="0" w:color="auto" w:frame="1"/>
        </w:rPr>
        <w:t>  </w:t>
      </w:r>
      <w:r>
        <w:rPr>
          <w:rFonts w:ascii="Calibri" w:hAnsi="Calibri" w:cs="Calibri"/>
          <w:color w:val="000000"/>
          <w:bdr w:val="none" w:sz="0" w:space="0" w:color="auto" w:frame="1"/>
        </w:rPr>
        <w:t>(</w:t>
      </w:r>
      <w:proofErr w:type="gramStart"/>
      <w:r>
        <w:rPr>
          <w:rFonts w:ascii="Calibri" w:hAnsi="Calibri" w:cs="Calibri"/>
          <w:color w:val="C82613"/>
          <w:bdr w:val="none" w:sz="0" w:space="0" w:color="auto" w:frame="1"/>
        </w:rPr>
        <w:t>higher</w:t>
      </w:r>
      <w:proofErr w:type="gramEnd"/>
      <w:r>
        <w:rPr>
          <w:rFonts w:ascii="Calibri" w:hAnsi="Calibri" w:cs="Calibri"/>
          <w:color w:val="C82613"/>
          <w:bdr w:val="none" w:sz="0" w:space="0" w:color="auto" w:frame="1"/>
        </w:rPr>
        <w:t> </w:t>
      </w:r>
      <w:r>
        <w:rPr>
          <w:rFonts w:ascii="Calibri" w:hAnsi="Calibri" w:cs="Calibri"/>
          <w:color w:val="000000"/>
          <w:bdr w:val="none" w:sz="0" w:space="0" w:color="auto" w:frame="1"/>
        </w:rPr>
        <w:t>vs. previous fortnight)</w:t>
      </w:r>
      <w:r>
        <w:rPr>
          <w:rFonts w:ascii="Calibri" w:hAnsi="Calibri" w:cs="Calibri"/>
          <w:color w:val="000000"/>
        </w:rPr>
        <w:t> </w:t>
      </w: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Dukes &amp; Nantucket Counties:   2.32% </w:t>
      </w:r>
      <w:r>
        <w:rPr>
          <w:rFonts w:ascii="Calibri" w:hAnsi="Calibri" w:cs="Calibri"/>
          <w:color w:val="000000"/>
          <w:bdr w:val="none" w:sz="0" w:space="0" w:color="auto" w:frame="1"/>
          <w:shd w:val="clear" w:color="auto" w:fill="FFFFFF"/>
        </w:rPr>
        <w:t>(vs. 1.53%)  (</w:t>
      </w:r>
      <w:proofErr w:type="gramStart"/>
      <w:r>
        <w:rPr>
          <w:rFonts w:ascii="Calibri" w:hAnsi="Calibri" w:cs="Calibri"/>
          <w:color w:val="C82613"/>
          <w:bdr w:val="none" w:sz="0" w:space="0" w:color="auto" w:frame="1"/>
          <w:shd w:val="clear" w:color="auto" w:fill="FFFFFF"/>
        </w:rPr>
        <w:t>higher</w:t>
      </w:r>
      <w:proofErr w:type="gramEnd"/>
      <w:r>
        <w:rPr>
          <w:rFonts w:ascii="Calibri" w:hAnsi="Calibri" w:cs="Calibri"/>
          <w:color w:val="000000"/>
          <w:bdr w:val="none" w:sz="0" w:space="0" w:color="auto" w:frame="1"/>
          <w:shd w:val="clear" w:color="auto" w:fill="FFFFFF"/>
        </w:rPr>
        <w:t>)</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1"/>
          <w:szCs w:val="21"/>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t>2.  Hospitalizations and Fatalities</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Hospitalizations </w:t>
      </w:r>
      <w:r>
        <w:rPr>
          <w:rFonts w:ascii="Calibri" w:hAnsi="Calibri" w:cs="Calibri"/>
          <w:color w:val="000000"/>
          <w:bdr w:val="none" w:sz="0" w:space="0" w:color="auto" w:frame="1"/>
        </w:rPr>
        <w:t>and </w:t>
      </w:r>
      <w:r>
        <w:rPr>
          <w:rFonts w:ascii="Calibri" w:hAnsi="Calibri" w:cs="Calibri"/>
          <w:b/>
          <w:bCs/>
          <w:color w:val="000000"/>
          <w:bdr w:val="none" w:sz="0" w:space="0" w:color="auto" w:frame="1"/>
        </w:rPr>
        <w:t>acuity of illness</w:t>
      </w:r>
      <w:r>
        <w:rPr>
          <w:rFonts w:ascii="Calibri" w:hAnsi="Calibri" w:cs="Calibri"/>
          <w:color w:val="000000"/>
          <w:bdr w:val="none" w:sz="0" w:space="0" w:color="auto" w:frame="1"/>
        </w:rPr>
        <w:t> have </w:t>
      </w:r>
      <w:r>
        <w:rPr>
          <w:rFonts w:ascii="Calibri" w:hAnsi="Calibri" w:cs="Calibri"/>
          <w:b/>
          <w:bCs/>
          <w:color w:val="000000"/>
          <w:bdr w:val="none" w:sz="0" w:space="0" w:color="auto" w:frame="1"/>
        </w:rPr>
        <w:t>decreased very significantly</w:t>
      </w:r>
      <w:r>
        <w:rPr>
          <w:rFonts w:ascii="Calibri" w:hAnsi="Calibri" w:cs="Calibri"/>
          <w:color w:val="000000"/>
          <w:bdr w:val="none" w:sz="0" w:space="0" w:color="auto" w:frame="1"/>
        </w:rPr>
        <w:t> since the double peaks of the Wave 2 surge seen in min-January and early February (corresponding Thanksgiving and Christmas holidays).  Cape Cod Hospital and Falmouth Hospital have </w:t>
      </w:r>
      <w:r>
        <w:rPr>
          <w:rFonts w:ascii="Calibri" w:hAnsi="Calibri" w:cs="Calibri"/>
          <w:b/>
          <w:bCs/>
          <w:color w:val="000000"/>
          <w:bdr w:val="none" w:sz="0" w:space="0" w:color="auto" w:frame="1"/>
        </w:rPr>
        <w:t>resumed limited visitation</w:t>
      </w:r>
      <w:r>
        <w:rPr>
          <w:rFonts w:ascii="Calibri" w:hAnsi="Calibri" w:cs="Calibri"/>
          <w:color w:val="000000"/>
          <w:bdr w:val="none" w:sz="0" w:space="0" w:color="auto" w:frame="1"/>
        </w:rPr>
        <w:t> of inpatients.  </w:t>
      </w:r>
    </w:p>
    <w:p w:rsidR="001C0DC4" w:rsidRDefault="001C0DC4" w:rsidP="001C0DC4">
      <w:pPr>
        <w:pStyle w:val="xxxxmsonormal"/>
        <w:shd w:val="clear" w:color="auto" w:fill="FFFFFF"/>
        <w:rPr>
          <w:rFonts w:ascii="Calibri" w:hAnsi="Calibri" w:cs="Calibri"/>
          <w:color w:val="000000"/>
          <w:sz w:val="22"/>
          <w:szCs w:val="22"/>
        </w:rPr>
      </w:pP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noProof/>
          <w:color w:val="000000"/>
          <w:sz w:val="22"/>
          <w:szCs w:val="22"/>
        </w:rPr>
        <w:drawing>
          <wp:inline distT="0" distB="0" distL="0" distR="0">
            <wp:extent cx="6000750" cy="1227776"/>
            <wp:effectExtent l="0" t="0" r="0" b="0"/>
            <wp:docPr id="4" name="Picture 4" descr="cid:f8a328ab-98f0-4634-9ebe-8879733ba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8a328ab-98f0-4634-9ebe-8879733ba389"/>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055631" cy="1239005"/>
                    </a:xfrm>
                    <a:prstGeom prst="rect">
                      <a:avLst/>
                    </a:prstGeom>
                    <a:noFill/>
                    <a:ln>
                      <a:noFill/>
                    </a:ln>
                  </pic:spPr>
                </pic:pic>
              </a:graphicData>
            </a:graphic>
          </wp:inline>
        </w:drawing>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xml:space="preserve">Since DPH reporting of hospitalizations has a 2-day lag Tina Shaw of CCHC is providing me with more recent information (thank you Tina).  Yesterday afternoon CCHC reported that there were </w:t>
      </w:r>
      <w:r>
        <w:rPr>
          <w:rFonts w:ascii="Calibri" w:hAnsi="Calibri" w:cs="Calibri"/>
          <w:b/>
          <w:bCs/>
          <w:color w:val="000000"/>
          <w:bdr w:val="none" w:sz="0" w:space="0" w:color="auto" w:frame="1"/>
        </w:rPr>
        <w:t>25</w:t>
      </w:r>
      <w:r>
        <w:rPr>
          <w:rFonts w:ascii="Calibri" w:hAnsi="Calibri" w:cs="Calibri"/>
          <w:color w:val="000000"/>
          <w:bdr w:val="none" w:sz="0" w:space="0" w:color="auto" w:frame="1"/>
        </w:rPr>
        <w:t> COVID </w:t>
      </w:r>
      <w:r>
        <w:rPr>
          <w:rFonts w:ascii="Calibri" w:hAnsi="Calibri" w:cs="Calibri"/>
          <w:b/>
          <w:bCs/>
          <w:color w:val="000000"/>
          <w:bdr w:val="none" w:sz="0" w:space="0" w:color="auto" w:frame="1"/>
        </w:rPr>
        <w:t>patients in hospital</w:t>
      </w:r>
      <w:r>
        <w:rPr>
          <w:rFonts w:ascii="Calibri" w:hAnsi="Calibri" w:cs="Calibri"/>
          <w:color w:val="000000"/>
          <w:bdr w:val="none" w:sz="0" w:space="0" w:color="auto" w:frame="1"/>
        </w:rPr>
        <w:t xml:space="preserve">, </w:t>
      </w:r>
      <w:r>
        <w:rPr>
          <w:rFonts w:ascii="Calibri" w:hAnsi="Calibri" w:cs="Calibri"/>
          <w:b/>
          <w:bCs/>
          <w:color w:val="000000"/>
          <w:bdr w:val="none" w:sz="0" w:space="0" w:color="auto" w:frame="1"/>
        </w:rPr>
        <w:t>5</w:t>
      </w:r>
      <w:r>
        <w:rPr>
          <w:rFonts w:ascii="Calibri" w:hAnsi="Calibri" w:cs="Calibri"/>
          <w:color w:val="000000"/>
          <w:bdr w:val="none" w:sz="0" w:space="0" w:color="auto" w:frame="1"/>
        </w:rPr>
        <w:t> of which were in the CCH </w:t>
      </w:r>
      <w:r>
        <w:rPr>
          <w:rFonts w:ascii="Calibri" w:hAnsi="Calibri" w:cs="Calibri"/>
          <w:b/>
          <w:bCs/>
          <w:color w:val="000000"/>
          <w:bdr w:val="none" w:sz="0" w:space="0" w:color="auto" w:frame="1"/>
        </w:rPr>
        <w:t>ICU.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Fatalities:  2</w:t>
      </w:r>
      <w:r>
        <w:rPr>
          <w:rFonts w:ascii="Calibri" w:hAnsi="Calibri" w:cs="Calibri"/>
          <w:color w:val="000000"/>
          <w:bdr w:val="none" w:sz="0" w:space="0" w:color="auto" w:frame="1"/>
        </w:rPr>
        <w:t> fatalities were reported over the weekend.  The total is </w:t>
      </w:r>
      <w:r>
        <w:rPr>
          <w:rFonts w:ascii="Calibri" w:hAnsi="Calibri" w:cs="Calibri"/>
          <w:b/>
          <w:bCs/>
          <w:color w:val="000000"/>
          <w:bdr w:val="none" w:sz="0" w:space="0" w:color="auto" w:frame="1"/>
        </w:rPr>
        <w:t>429.</w:t>
      </w:r>
      <w:r>
        <w:rPr>
          <w:rFonts w:ascii="Calibri" w:hAnsi="Calibri" w:cs="Calibri"/>
          <w:color w:val="000000"/>
          <w:sz w:val="22"/>
          <w:szCs w:val="22"/>
          <w:bdr w:val="none" w:sz="0" w:space="0" w:color="auto" w:frame="1"/>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lastRenderedPageBreak/>
        <w:br/>
      </w:r>
      <w:r>
        <w:rPr>
          <w:rFonts w:ascii="Calibri" w:hAnsi="Calibri" w:cs="Calibri"/>
          <w:color w:val="000000"/>
          <w:sz w:val="22"/>
          <w:szCs w:val="22"/>
        </w:rPr>
        <w:t> </w:t>
      </w:r>
      <w:r>
        <w:rPr>
          <w:rFonts w:ascii="Calibri" w:hAnsi="Calibri" w:cs="Calibri"/>
          <w:noProof/>
          <w:color w:val="000000"/>
          <w:sz w:val="22"/>
          <w:szCs w:val="22"/>
        </w:rPr>
        <w:drawing>
          <wp:inline distT="0" distB="0" distL="0" distR="0">
            <wp:extent cx="5781675" cy="3349554"/>
            <wp:effectExtent l="0" t="0" r="0" b="3810"/>
            <wp:docPr id="3" name="Picture 3" descr="cid:f9cccb4e-9e82-4d54-8ac5-ca668a61d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9cccb4e-9e82-4d54-8ac5-ca668a61d484"/>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785449" cy="3351740"/>
                    </a:xfrm>
                    <a:prstGeom prst="rect">
                      <a:avLst/>
                    </a:prstGeom>
                    <a:noFill/>
                    <a:ln>
                      <a:noFill/>
                    </a:ln>
                  </pic:spPr>
                </pic:pic>
              </a:graphicData>
            </a:graphic>
          </wp:inline>
        </w:drawing>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Recent data on COVID fatalities in Barnstable County suggest that residents of </w:t>
      </w:r>
      <w:r>
        <w:rPr>
          <w:rFonts w:ascii="Calibri" w:hAnsi="Calibri" w:cs="Calibri"/>
          <w:b/>
          <w:bCs/>
          <w:color w:val="000000"/>
          <w:bdr w:val="none" w:sz="0" w:space="0" w:color="auto" w:frame="1"/>
        </w:rPr>
        <w:t>Long Term Care/Skilled Nursing Facilities/Rest Homes </w:t>
      </w:r>
      <w:r>
        <w:rPr>
          <w:rFonts w:ascii="Calibri" w:hAnsi="Calibri" w:cs="Calibri"/>
          <w:color w:val="000000"/>
          <w:bdr w:val="none" w:sz="0" w:space="0" w:color="auto" w:frame="1"/>
        </w:rPr>
        <w:t>represent </w:t>
      </w:r>
      <w:r>
        <w:rPr>
          <w:rFonts w:ascii="Calibri" w:hAnsi="Calibri" w:cs="Calibri"/>
          <w:b/>
          <w:bCs/>
          <w:color w:val="000000"/>
          <w:bdr w:val="none" w:sz="0" w:space="0" w:color="auto" w:frame="1"/>
        </w:rPr>
        <w:t>42.5%</w:t>
      </w:r>
      <w:r>
        <w:rPr>
          <w:rFonts w:ascii="Calibri" w:hAnsi="Calibri" w:cs="Calibri"/>
          <w:color w:val="000000"/>
          <w:bdr w:val="none" w:sz="0" w:space="0" w:color="auto" w:frame="1"/>
        </w:rPr>
        <w:t> of all fatalities (167 of 393 fatalities, as of 2/25/21).  This is a </w:t>
      </w:r>
      <w:r>
        <w:rPr>
          <w:rFonts w:ascii="Calibri" w:hAnsi="Calibri" w:cs="Calibri"/>
          <w:b/>
          <w:bCs/>
          <w:color w:val="000000"/>
          <w:u w:val="single"/>
          <w:bdr w:val="none" w:sz="0" w:space="0" w:color="auto" w:frame="1"/>
        </w:rPr>
        <w:t>lower</w:t>
      </w:r>
      <w:r>
        <w:rPr>
          <w:rFonts w:ascii="Calibri" w:hAnsi="Calibri" w:cs="Calibri"/>
          <w:b/>
          <w:bCs/>
          <w:color w:val="000000"/>
          <w:bdr w:val="none" w:sz="0" w:space="0" w:color="auto" w:frame="1"/>
        </w:rPr>
        <w:t> </w:t>
      </w:r>
      <w:r>
        <w:rPr>
          <w:rFonts w:ascii="Calibri" w:hAnsi="Calibri" w:cs="Calibri"/>
          <w:color w:val="000000"/>
          <w:bdr w:val="none" w:sz="0" w:space="0" w:color="auto" w:frame="1"/>
        </w:rPr>
        <w:t>percentage than that seen during phase 1 of the pandemic last spring (over 65%), and </w:t>
      </w:r>
      <w:r>
        <w:rPr>
          <w:rFonts w:ascii="Calibri" w:hAnsi="Calibri" w:cs="Calibri"/>
          <w:b/>
          <w:bCs/>
          <w:color w:val="000000"/>
          <w:bdr w:val="none" w:sz="0" w:space="0" w:color="auto" w:frame="1"/>
        </w:rPr>
        <w:t>this percentage continues to fall.  Indeed, </w:t>
      </w:r>
      <w:r>
        <w:rPr>
          <w:rFonts w:ascii="Calibri" w:hAnsi="Calibri" w:cs="Calibri"/>
          <w:b/>
          <w:bCs/>
          <w:color w:val="000000"/>
          <w:bdr w:val="none" w:sz="0" w:space="0" w:color="auto" w:frame="1"/>
          <w:shd w:val="clear" w:color="auto" w:fill="FFFF80"/>
        </w:rPr>
        <w:t>between 1/5/21 and 2/23/21 only 20% of the County's 137 fatalities occurred among LTC residents.</w:t>
      </w:r>
      <w:r>
        <w:rPr>
          <w:rFonts w:ascii="Calibri" w:hAnsi="Calibri" w:cs="Calibri"/>
          <w:b/>
          <w:bCs/>
          <w:color w:val="000000"/>
          <w:bdr w:val="none" w:sz="0" w:space="0" w:color="auto" w:frame="1"/>
          <w:shd w:val="clear" w:color="auto" w:fill="FFFFFF"/>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This month marks the one-year </w:t>
      </w:r>
      <w:r>
        <w:rPr>
          <w:rFonts w:ascii="Calibri" w:hAnsi="Calibri" w:cs="Calibri"/>
          <w:b/>
          <w:bCs/>
          <w:color w:val="000000"/>
          <w:bdr w:val="none" w:sz="0" w:space="0" w:color="auto" w:frame="1"/>
          <w:shd w:val="clear" w:color="auto" w:fill="FFFFFF"/>
        </w:rPr>
        <w:t>anniversary </w:t>
      </w:r>
      <w:r>
        <w:rPr>
          <w:rFonts w:ascii="Calibri" w:hAnsi="Calibri" w:cs="Calibri"/>
          <w:color w:val="000000"/>
          <w:bdr w:val="none" w:sz="0" w:space="0" w:color="auto" w:frame="1"/>
          <w:shd w:val="clear" w:color="auto" w:fill="FFFFFF"/>
        </w:rPr>
        <w:t>of the recognition of the first COVID case in Massachusetts.​  In year 1 of this pandemic the </w:t>
      </w:r>
      <w:r>
        <w:rPr>
          <w:rFonts w:ascii="Calibri" w:hAnsi="Calibri" w:cs="Calibri"/>
          <w:b/>
          <w:bCs/>
          <w:color w:val="000000"/>
          <w:bdr w:val="none" w:sz="0" w:space="0" w:color="auto" w:frame="1"/>
          <w:shd w:val="clear" w:color="auto" w:fill="FFFF80"/>
        </w:rPr>
        <w:t>Barnstable County Case Fatality Rate (CFR) is 4%</w:t>
      </w:r>
      <w:r>
        <w:rPr>
          <w:rFonts w:ascii="Calibri" w:hAnsi="Calibri" w:cs="Calibri"/>
          <w:color w:val="000000"/>
          <w:bdr w:val="none" w:sz="0" w:space="0" w:color="auto" w:frame="1"/>
          <w:shd w:val="clear" w:color="auto" w:fill="FFFFFF"/>
        </w:rPr>
        <w:t>, behind only Berkshire and Franklin Counties (which are also remote, rural locales), and is markedly higher than </w:t>
      </w:r>
      <w:r>
        <w:rPr>
          <w:rFonts w:ascii="Calibri" w:hAnsi="Calibri" w:cs="Calibri"/>
          <w:color w:val="000000"/>
          <w:bdr w:val="none" w:sz="0" w:space="0" w:color="auto" w:frame="1"/>
          <w:shd w:val="clear" w:color="auto" w:fill="FFFF80"/>
        </w:rPr>
        <w:t>the </w:t>
      </w:r>
      <w:r>
        <w:rPr>
          <w:rFonts w:ascii="Calibri" w:hAnsi="Calibri" w:cs="Calibri"/>
          <w:b/>
          <w:bCs/>
          <w:color w:val="000000"/>
          <w:bdr w:val="none" w:sz="0" w:space="0" w:color="auto" w:frame="1"/>
          <w:shd w:val="clear" w:color="auto" w:fill="FFFF80"/>
        </w:rPr>
        <w:t>state CFR (2.8%)</w:t>
      </w:r>
      <w:r>
        <w:rPr>
          <w:rFonts w:ascii="Calibri" w:hAnsi="Calibri" w:cs="Calibri"/>
          <w:color w:val="000000"/>
          <w:bdr w:val="none" w:sz="0" w:space="0" w:color="auto" w:frame="1"/>
          <w:shd w:val="clear" w:color="auto" w:fill="FFFFFF"/>
        </w:rPr>
        <w:t>.</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201F1E"/>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201F1E"/>
          <w:bdr w:val="none" w:sz="0" w:space="0" w:color="auto" w:frame="1"/>
        </w:rPr>
        <w:t> </w:t>
      </w:r>
      <w:r>
        <w:rPr>
          <w:rFonts w:ascii="Calibri" w:hAnsi="Calibri" w:cs="Calibri"/>
          <w:b/>
          <w:bCs/>
          <w:color w:val="201F1E"/>
          <w:u w:val="single"/>
          <w:bdr w:val="none" w:sz="0" w:space="0" w:color="auto" w:frame="1"/>
        </w:rPr>
        <w:t>3.  Schools and Childcare Centers</w:t>
      </w:r>
      <w:r>
        <w:rPr>
          <w:rFonts w:ascii="Calibri" w:hAnsi="Calibri" w:cs="Calibri"/>
          <w:color w:val="201F1E"/>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School districts</w:t>
      </w:r>
      <w:r>
        <w:rPr>
          <w:rFonts w:ascii="Calibri" w:hAnsi="Calibri" w:cs="Calibri"/>
          <w:color w:val="000000"/>
          <w:bdr w:val="none" w:sz="0" w:space="0" w:color="auto" w:frame="1"/>
        </w:rPr>
        <w:t> are staying vigilant and reacting well to new cases. School districts on the Cape and Islands are in a hybrid learning status, </w:t>
      </w:r>
      <w:r>
        <w:rPr>
          <w:rFonts w:ascii="Calibri" w:hAnsi="Calibri" w:cs="Calibri"/>
          <w:b/>
          <w:bCs/>
          <w:color w:val="000000"/>
          <w:bdr w:val="none" w:sz="0" w:space="0" w:color="auto" w:frame="1"/>
          <w:shd w:val="clear" w:color="auto" w:fill="FFFFFF"/>
        </w:rPr>
        <w:t>however </w:t>
      </w:r>
      <w:r>
        <w:rPr>
          <w:rFonts w:ascii="Calibri" w:hAnsi="Calibri" w:cs="Calibri"/>
          <w:b/>
          <w:bCs/>
          <w:color w:val="000000"/>
          <w:bdr w:val="none" w:sz="0" w:space="0" w:color="auto" w:frame="1"/>
          <w:shd w:val="clear" w:color="auto" w:fill="FFFF80"/>
        </w:rPr>
        <w:t>DESE Commissioner Jeffrey Riley has announced plans which will compel schools to return to 100% in-person learning, starting with elementary schools, in April.  As such (and noted elsewhere), school and childcare teachers and staff became eligible for vaccinations on 3/11.</w:t>
      </w:r>
      <w:r>
        <w:rPr>
          <w:rFonts w:ascii="Calibri" w:hAnsi="Calibri" w:cs="Calibri"/>
          <w:b/>
          <w:bCs/>
          <w:color w:val="000000"/>
          <w:bdr w:val="none" w:sz="0" w:space="0" w:color="auto" w:frame="1"/>
        </w:rPr>
        <w:br/>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DESE and the DPH (memo of 1/8/21) announced that they are seeking to introduce COVID-19 screening testing using a pooled strategy in the school setting.  Schools may elect to participate by responding to a survey that DESE/DPH have posted.  The status of this initiative is unclear at this time.</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lastRenderedPageBreak/>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strike/>
          <w:color w:val="000000"/>
          <w:bdr w:val="none" w:sz="0" w:space="0" w:color="auto" w:frame="1"/>
          <w:shd w:val="clear" w:color="auto" w:fill="FFFFFF"/>
        </w:rPr>
        <w:t>For the 2020-2021 school year the DPH has mandated that all school children be vaccinated for seasonal influenza.  This week the DPH extended the deadline for doing so from 12/31/20 to 2/28/21.</w:t>
      </w:r>
      <w:r>
        <w:rPr>
          <w:rFonts w:ascii="Calibri" w:hAnsi="Calibri" w:cs="Calibri"/>
          <w:color w:val="000000"/>
          <w:bdr w:val="none" w:sz="0" w:space="0" w:color="auto" w:frame="1"/>
        </w:rPr>
        <w:t> </w:t>
      </w:r>
      <w:r>
        <w:rPr>
          <w:rFonts w:ascii="Calibri" w:hAnsi="Calibri" w:cs="Calibri"/>
          <w:b/>
          <w:bCs/>
          <w:color w:val="000000"/>
          <w:bdr w:val="none" w:sz="0" w:space="0" w:color="auto" w:frame="1"/>
          <w:shd w:val="clear" w:color="auto" w:fill="FFFFFF"/>
        </w:rPr>
        <w:t>This mandate has been canceled by the DPH.</w:t>
      </w:r>
      <w:r>
        <w:rPr>
          <w:rFonts w:ascii="Calibri" w:hAnsi="Calibri" w:cs="Calibri"/>
          <w:b/>
          <w:bCs/>
          <w:color w:val="000000"/>
          <w:sz w:val="22"/>
          <w:szCs w:val="22"/>
          <w:bdr w:val="none" w:sz="0" w:space="0" w:color="auto" w:frame="1"/>
          <w:shd w:val="clear" w:color="auto" w:fill="FFFFFF"/>
        </w:rPr>
        <w:t> </w:t>
      </w:r>
      <w:r>
        <w:rPr>
          <w:rFonts w:ascii="Calibri" w:hAnsi="Calibri" w:cs="Calibri"/>
          <w:b/>
          <w:bCs/>
          <w:color w:val="000000"/>
          <w:sz w:val="22"/>
          <w:szCs w:val="22"/>
          <w:shd w:val="clear" w:color="auto" w:fill="FFFFFF"/>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br/>
      </w:r>
      <w:r>
        <w:rPr>
          <w:rFonts w:ascii="Calibri" w:hAnsi="Calibri" w:cs="Calibri"/>
          <w:color w:val="000000"/>
          <w:sz w:val="22"/>
          <w:szCs w:val="22"/>
          <w:bdr w:val="none" w:sz="0" w:space="0" w:color="auto" w:frame="1"/>
        </w:rPr>
        <w:t> </w:t>
      </w:r>
      <w:r>
        <w:rPr>
          <w:rFonts w:ascii="Calibri" w:hAnsi="Calibri" w:cs="Calibri"/>
          <w:color w:val="000000"/>
          <w:sz w:val="22"/>
          <w:szCs w:val="22"/>
        </w:rPr>
        <w:t> </w:t>
      </w:r>
      <w:r>
        <w:rPr>
          <w:rFonts w:ascii="Calibri" w:hAnsi="Calibri" w:cs="Calibri"/>
          <w:b/>
          <w:bCs/>
          <w:color w:val="000000"/>
          <w:u w:val="single"/>
          <w:bdr w:val="none" w:sz="0" w:space="0" w:color="auto" w:frame="1"/>
        </w:rPr>
        <w:t>4.  Testing</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Additional testing locations in Barnstable County</w:t>
      </w:r>
      <w:r>
        <w:rPr>
          <w:rFonts w:ascii="Calibri" w:hAnsi="Calibri" w:cs="Calibri"/>
          <w:b/>
          <w:bCs/>
          <w:color w:val="000000"/>
          <w:bdr w:val="none" w:sz="0" w:space="0" w:color="auto" w:frame="1"/>
        </w:rPr>
        <w:t> </w:t>
      </w:r>
      <w:r>
        <w:rPr>
          <w:rFonts w:ascii="Calibri" w:hAnsi="Calibri" w:cs="Calibri"/>
          <w:color w:val="000000"/>
          <w:bdr w:val="none" w:sz="0" w:space="0" w:color="auto" w:frame="1"/>
        </w:rPr>
        <w:t>for both symptomatic and asymptomatic persons remain open in </w:t>
      </w:r>
      <w:r>
        <w:rPr>
          <w:rFonts w:ascii="Calibri" w:hAnsi="Calibri" w:cs="Calibri"/>
          <w:b/>
          <w:bCs/>
          <w:color w:val="000000"/>
          <w:bdr w:val="none" w:sz="0" w:space="0" w:color="auto" w:frame="1"/>
        </w:rPr>
        <w:t>Falmouth </w:t>
      </w:r>
      <w:r>
        <w:rPr>
          <w:rFonts w:ascii="Calibri" w:hAnsi="Calibri" w:cs="Calibri"/>
          <w:color w:val="000000"/>
          <w:bdr w:val="none" w:sz="0" w:space="0" w:color="auto" w:frame="1"/>
        </w:rPr>
        <w:t>at the Fairgrounds and in </w:t>
      </w:r>
      <w:r>
        <w:rPr>
          <w:rFonts w:ascii="Calibri" w:hAnsi="Calibri" w:cs="Calibri"/>
          <w:b/>
          <w:bCs/>
          <w:color w:val="000000"/>
          <w:bdr w:val="none" w:sz="0" w:space="0" w:color="auto" w:frame="1"/>
        </w:rPr>
        <w:t>Hyannis </w:t>
      </w:r>
      <w:r>
        <w:rPr>
          <w:rFonts w:ascii="Calibri" w:hAnsi="Calibri" w:cs="Calibri"/>
          <w:color w:val="000000"/>
          <w:bdr w:val="none" w:sz="0" w:space="0" w:color="auto" w:frame="1"/>
        </w:rPr>
        <w:t xml:space="preserve">at Cape Cod Hospital (the Melody Tent site has been given over to vaccination clinics).  Daily testing capacity is 50 at the Falmouth site and 350 at the Hyannis site.  </w:t>
      </w:r>
      <w:proofErr w:type="gramStart"/>
      <w:r>
        <w:rPr>
          <w:rFonts w:ascii="Calibri" w:hAnsi="Calibri" w:cs="Calibri"/>
          <w:color w:val="000000"/>
          <w:bdr w:val="none" w:sz="0" w:space="0" w:color="auto" w:frame="1"/>
        </w:rPr>
        <w:t>Neither site is open daily and</w:t>
      </w:r>
      <w:proofErr w:type="gramEnd"/>
      <w:r>
        <w:rPr>
          <w:rFonts w:ascii="Calibri" w:hAnsi="Calibri" w:cs="Calibri"/>
          <w:color w:val="000000"/>
          <w:bdr w:val="none" w:sz="0" w:space="0" w:color="auto" w:frame="1"/>
        </w:rPr>
        <w:t xml:space="preserve"> persons must call ahead for an appointment.  Details: </w:t>
      </w:r>
      <w:hyperlink r:id="rId25" w:tgtFrame="_blank" w:history="1">
        <w:r>
          <w:rPr>
            <w:rStyle w:val="Hyperlink"/>
            <w:rFonts w:ascii="Calibri" w:hAnsi="Calibri" w:cs="Calibri"/>
            <w:bdr w:val="none" w:sz="0" w:space="0" w:color="auto" w:frame="1"/>
          </w:rPr>
          <w:t>https://www.capecodhealth.org/medical-services/infectious-disease/coronavirus/covid-19-testing-process/</w:t>
        </w:r>
      </w:hyperlink>
      <w:r>
        <w:rPr>
          <w:rFonts w:ascii="Calibri" w:hAnsi="Calibri" w:cs="Calibri"/>
          <w:color w:val="000000"/>
          <w:bdr w:val="none" w:sz="0" w:space="0" w:color="auto" w:frame="1"/>
        </w:rPr>
        <w:t>. </w:t>
      </w:r>
      <w:r>
        <w:rPr>
          <w:rFonts w:ascii="Calibri" w:hAnsi="Calibri" w:cs="Calibri"/>
          <w:b/>
          <w:bCs/>
          <w:color w:val="000000"/>
          <w:bdr w:val="none" w:sz="0" w:space="0" w:color="auto" w:frame="1"/>
        </w:rPr>
        <w:br/>
      </w:r>
      <w:r>
        <w:rPr>
          <w:rFonts w:ascii="Calibri" w:hAnsi="Calibri" w:cs="Calibri"/>
          <w:b/>
          <w:bCs/>
          <w:color w:val="000000"/>
          <w:bdr w:val="none" w:sz="0" w:space="0" w:color="auto" w:frame="1"/>
        </w:rPr>
        <w:br/>
      </w:r>
      <w:r>
        <w:rPr>
          <w:rFonts w:ascii="Calibri" w:hAnsi="Calibri" w:cs="Calibri"/>
          <w:color w:val="000000"/>
          <w:bdr w:val="none" w:sz="0" w:space="0" w:color="auto" w:frame="1"/>
        </w:rPr>
        <w:t>In late December additional testing by </w:t>
      </w:r>
      <w:r>
        <w:rPr>
          <w:rFonts w:ascii="Calibri" w:hAnsi="Calibri" w:cs="Calibri"/>
          <w:b/>
          <w:bCs/>
          <w:color w:val="C82613"/>
          <w:bdr w:val="none" w:sz="0" w:space="0" w:color="auto" w:frame="1"/>
        </w:rPr>
        <w:t>Outer Cape Community Health Services</w:t>
      </w:r>
      <w:r>
        <w:rPr>
          <w:rFonts w:ascii="Calibri" w:hAnsi="Calibri" w:cs="Calibri"/>
          <w:b/>
          <w:bCs/>
          <w:color w:val="000000"/>
          <w:bdr w:val="none" w:sz="0" w:space="0" w:color="auto" w:frame="1"/>
        </w:rPr>
        <w:t> </w:t>
      </w:r>
      <w:r>
        <w:rPr>
          <w:rFonts w:ascii="Calibri" w:hAnsi="Calibri" w:cs="Calibri"/>
          <w:color w:val="000000"/>
          <w:bdr w:val="none" w:sz="0" w:space="0" w:color="auto" w:frame="1"/>
        </w:rPr>
        <w:t>began and continues at its 3 locations in Wellfleet, Harwich Port, and Provincetown</w:t>
      </w:r>
      <w:r>
        <w:rPr>
          <w:rFonts w:ascii="Calibri" w:hAnsi="Calibri" w:cs="Calibri"/>
          <w:b/>
          <w:bCs/>
          <w:color w:val="000000"/>
          <w:bdr w:val="none" w:sz="0" w:space="0" w:color="auto" w:frame="1"/>
        </w:rPr>
        <w:t> </w:t>
      </w:r>
      <w:r>
        <w:rPr>
          <w:rFonts w:ascii="Calibri" w:hAnsi="Calibri" w:cs="Calibri"/>
          <w:color w:val="000000"/>
          <w:bdr w:val="none" w:sz="0" w:space="0" w:color="auto" w:frame="1"/>
        </w:rPr>
        <w:t>(</w:t>
      </w:r>
      <w:hyperlink r:id="rId26" w:tgtFrame="_blank" w:history="1">
        <w:r>
          <w:rPr>
            <w:rStyle w:val="Hyperlink"/>
            <w:rFonts w:ascii="Calibri" w:hAnsi="Calibri" w:cs="Calibri"/>
            <w:bdr w:val="none" w:sz="0" w:space="0" w:color="auto" w:frame="1"/>
          </w:rPr>
          <w:t>https://outercape.org/2020/12/23/outer-cape-health-services-to-offer-covid-19-asymptomatic-testing-beginning-december-23/</w:t>
        </w:r>
      </w:hyperlink>
      <w:r>
        <w:rPr>
          <w:rFonts w:ascii="Calibri" w:hAnsi="Calibri" w:cs="Calibri"/>
          <w:color w:val="000000"/>
          <w:bdr w:val="none" w:sz="0" w:space="0" w:color="auto" w:frame="1"/>
        </w:rPr>
        <w:t>).  The </w:t>
      </w:r>
      <w:r>
        <w:rPr>
          <w:rFonts w:ascii="Calibri" w:hAnsi="Calibri" w:cs="Calibri"/>
          <w:b/>
          <w:bCs/>
          <w:color w:val="C82613"/>
          <w:bdr w:val="none" w:sz="0" w:space="0" w:color="auto" w:frame="1"/>
        </w:rPr>
        <w:t>Community Health Center of Cape Cod</w:t>
      </w:r>
      <w:r>
        <w:rPr>
          <w:rFonts w:ascii="Calibri" w:hAnsi="Calibri" w:cs="Calibri"/>
          <w:color w:val="000000"/>
          <w:bdr w:val="none" w:sz="0" w:space="0" w:color="auto" w:frame="1"/>
        </w:rPr>
        <w:t> is also offering testing at its locations.  These sites may not open be daily and persons must call ahead for an appointment.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Eligibility criteria for the testing include residency in Barnstable County.  Testing is done by appointment only.  Tests cost $75, $110 for travel-related tests, and no one will be turned away if unable to pay for a test. </w:t>
      </w:r>
      <w:r>
        <w:rPr>
          <w:rFonts w:ascii="Calibri" w:hAnsi="Calibri" w:cs="Calibri"/>
          <w:color w:val="000000"/>
          <w:bdr w:val="none" w:sz="0" w:space="0" w:color="auto" w:frame="1"/>
        </w:rPr>
        <w:br/>
      </w:r>
      <w:r>
        <w:rPr>
          <w:rFonts w:ascii="Calibri" w:hAnsi="Calibri" w:cs="Calibri"/>
          <w:color w:val="000000"/>
          <w:bdr w:val="none" w:sz="0" w:space="0" w:color="auto" w:frame="1"/>
        </w:rPr>
        <w:br/>
        <w:t>DPH-mandated </w:t>
      </w:r>
      <w:r>
        <w:rPr>
          <w:rFonts w:ascii="Calibri" w:hAnsi="Calibri" w:cs="Calibri"/>
          <w:b/>
          <w:bCs/>
          <w:color w:val="000000"/>
        </w:rPr>
        <w:t>routine testing</w:t>
      </w:r>
      <w:r>
        <w:rPr>
          <w:rFonts w:ascii="Calibri" w:hAnsi="Calibri" w:cs="Calibri"/>
          <w:color w:val="000000"/>
          <w:bdr w:val="none" w:sz="0" w:space="0" w:color="auto" w:frame="1"/>
        </w:rPr>
        <w:t> in skilled nursing facilities/long term care settings (SNF/LTC) continues.  This provides critical surveillance and allows these facilities to stay ahead of asymptomatic spread amongst staff and residents. Routine testing in SNF/LTC settings is conducted weekly for staff.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t>In addition, the State's </w:t>
      </w:r>
      <w:r>
        <w:rPr>
          <w:rFonts w:ascii="Calibri" w:hAnsi="Calibri" w:cs="Calibri"/>
          <w:b/>
          <w:bCs/>
          <w:color w:val="000000"/>
          <w:bdr w:val="none" w:sz="0" w:space="0" w:color="auto" w:frame="1"/>
        </w:rPr>
        <w:t>BinaxNOW rapid testing program</w:t>
      </w:r>
      <w:r>
        <w:rPr>
          <w:rFonts w:ascii="Calibri" w:hAnsi="Calibri" w:cs="Calibri"/>
          <w:color w:val="000000"/>
          <w:bdr w:val="none" w:sz="0" w:space="0" w:color="auto" w:frame="1"/>
        </w:rPr>
        <w:t> (available to </w:t>
      </w:r>
      <w:r>
        <w:rPr>
          <w:rFonts w:ascii="Calibri" w:hAnsi="Calibri" w:cs="Calibri"/>
          <w:b/>
          <w:bCs/>
          <w:color w:val="000000"/>
          <w:bdr w:val="none" w:sz="0" w:space="0" w:color="auto" w:frame="1"/>
        </w:rPr>
        <w:t>schools</w:t>
      </w:r>
      <w:r>
        <w:rPr>
          <w:rFonts w:ascii="Calibri" w:hAnsi="Calibri" w:cs="Calibri"/>
          <w:color w:val="000000"/>
          <w:bdr w:val="none" w:sz="0" w:space="0" w:color="auto" w:frame="1"/>
        </w:rPr>
        <w:t>) has been extended to visitors of </w:t>
      </w:r>
      <w:r>
        <w:rPr>
          <w:rFonts w:ascii="Calibri" w:hAnsi="Calibri" w:cs="Calibri"/>
          <w:b/>
          <w:bCs/>
          <w:color w:val="000000"/>
          <w:bdr w:val="none" w:sz="0" w:space="0" w:color="auto" w:frame="1"/>
        </w:rPr>
        <w:t>nursing homes </w:t>
      </w:r>
      <w:r>
        <w:rPr>
          <w:rFonts w:ascii="Calibri" w:hAnsi="Calibri" w:cs="Calibri"/>
          <w:color w:val="000000"/>
          <w:bdr w:val="none" w:sz="0" w:space="0" w:color="auto" w:frame="1"/>
        </w:rPr>
        <w:t>and rest home residents (LTC settings) to allow visitation of residents while limiting the risk of infection from visitors.  DPH has published guidance on this.  The program has also been extended to</w:t>
      </w:r>
      <w:proofErr w:type="gramStart"/>
      <w:r>
        <w:rPr>
          <w:rFonts w:ascii="Calibri" w:hAnsi="Calibri" w:cs="Calibri"/>
          <w:color w:val="000000"/>
          <w:bdr w:val="none" w:sz="0" w:space="0" w:color="auto" w:frame="1"/>
        </w:rPr>
        <w:t> </w:t>
      </w:r>
      <w:r>
        <w:rPr>
          <w:rFonts w:ascii="Calibri" w:hAnsi="Calibri" w:cs="Calibri"/>
          <w:b/>
          <w:bCs/>
          <w:color w:val="000000"/>
          <w:bdr w:val="none" w:sz="0" w:space="0" w:color="auto" w:frame="1"/>
        </w:rPr>
        <w:t> homeless</w:t>
      </w:r>
      <w:proofErr w:type="gramEnd"/>
      <w:r>
        <w:rPr>
          <w:rFonts w:ascii="Calibri" w:hAnsi="Calibri" w:cs="Calibri"/>
          <w:b/>
          <w:bCs/>
          <w:color w:val="000000"/>
          <w:bdr w:val="none" w:sz="0" w:space="0" w:color="auto" w:frame="1"/>
        </w:rPr>
        <w:t xml:space="preserve"> shelters </w:t>
      </w:r>
      <w:r>
        <w:rPr>
          <w:rFonts w:ascii="Calibri" w:hAnsi="Calibri" w:cs="Calibri"/>
          <w:color w:val="000000"/>
          <w:bdr w:val="none" w:sz="0" w:space="0" w:color="auto" w:frame="1"/>
        </w:rPr>
        <w:t>and management of these facilities may apply to the EEC and DPH for testing kits.</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362585" w:rsidRDefault="00362585" w:rsidP="001C0DC4">
      <w:pPr>
        <w:pStyle w:val="xxxxmsonormal"/>
        <w:shd w:val="clear" w:color="auto" w:fill="FFFFFF"/>
        <w:rPr>
          <w:rFonts w:ascii="Calibri" w:hAnsi="Calibri" w:cs="Calibri"/>
          <w:color w:val="000000"/>
          <w:sz w:val="22"/>
          <w:szCs w:val="22"/>
        </w:rPr>
      </w:pPr>
    </w:p>
    <w:p w:rsidR="00260E5A" w:rsidRDefault="00260E5A" w:rsidP="001C0DC4">
      <w:pPr>
        <w:pStyle w:val="xxxxmsonormal"/>
        <w:shd w:val="clear" w:color="auto" w:fill="FFFFFF"/>
        <w:rPr>
          <w:rFonts w:ascii="Calibri" w:hAnsi="Calibri" w:cs="Calibri"/>
          <w:color w:val="000000"/>
          <w:sz w:val="22"/>
          <w:szCs w:val="22"/>
        </w:rPr>
      </w:pPr>
    </w:p>
    <w:p w:rsidR="00260E5A" w:rsidRDefault="00260E5A" w:rsidP="001C0DC4">
      <w:pPr>
        <w:pStyle w:val="xxxxmsonormal"/>
        <w:shd w:val="clear" w:color="auto" w:fill="FFFFFF"/>
        <w:rPr>
          <w:rFonts w:ascii="Calibri" w:hAnsi="Calibri" w:cs="Calibri"/>
          <w:color w:val="000000"/>
          <w:sz w:val="22"/>
          <w:szCs w:val="22"/>
        </w:rPr>
      </w:pPr>
    </w:p>
    <w:p w:rsidR="00260E5A" w:rsidRDefault="00260E5A" w:rsidP="001C0DC4">
      <w:pPr>
        <w:pStyle w:val="xxxxmsonormal"/>
        <w:shd w:val="clear" w:color="auto" w:fill="FFFFFF"/>
        <w:rPr>
          <w:rFonts w:ascii="Calibri" w:hAnsi="Calibri" w:cs="Calibri"/>
          <w:color w:val="000000"/>
          <w:sz w:val="22"/>
          <w:szCs w:val="22"/>
        </w:rPr>
      </w:pPr>
    </w:p>
    <w:p w:rsidR="00260E5A" w:rsidRDefault="00260E5A" w:rsidP="001C0DC4">
      <w:pPr>
        <w:pStyle w:val="xxxxmsonormal"/>
        <w:shd w:val="clear" w:color="auto" w:fill="FFFFFF"/>
        <w:rPr>
          <w:rFonts w:ascii="Calibri" w:hAnsi="Calibri" w:cs="Calibri"/>
          <w:color w:val="000000"/>
          <w:sz w:val="22"/>
          <w:szCs w:val="22"/>
        </w:rPr>
      </w:pPr>
    </w:p>
    <w:p w:rsidR="00260E5A" w:rsidRDefault="00260E5A" w:rsidP="001C0DC4">
      <w:pPr>
        <w:pStyle w:val="xxxxmsonormal"/>
        <w:shd w:val="clear" w:color="auto" w:fill="FFFFFF"/>
        <w:rPr>
          <w:rFonts w:ascii="Calibri" w:hAnsi="Calibri" w:cs="Calibri"/>
          <w:color w:val="000000"/>
          <w:sz w:val="22"/>
          <w:szCs w:val="22"/>
        </w:rPr>
      </w:pPr>
    </w:p>
    <w:p w:rsidR="00260E5A" w:rsidRDefault="00260E5A" w:rsidP="001C0DC4">
      <w:pPr>
        <w:pStyle w:val="xxxxmsonormal"/>
        <w:shd w:val="clear" w:color="auto" w:fill="FFFFFF"/>
        <w:rPr>
          <w:rFonts w:ascii="Calibri" w:hAnsi="Calibri" w:cs="Calibri"/>
          <w:color w:val="000000"/>
          <w:sz w:val="22"/>
          <w:szCs w:val="22"/>
        </w:rPr>
      </w:pPr>
    </w:p>
    <w:p w:rsidR="00260E5A" w:rsidRDefault="00260E5A" w:rsidP="001C0DC4">
      <w:pPr>
        <w:pStyle w:val="xxxxmsonormal"/>
        <w:shd w:val="clear" w:color="auto" w:fill="FFFFFF"/>
        <w:rPr>
          <w:rFonts w:ascii="Calibri" w:hAnsi="Calibri" w:cs="Calibri"/>
          <w:color w:val="000000"/>
          <w:sz w:val="22"/>
          <w:szCs w:val="22"/>
        </w:rPr>
      </w:pP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lastRenderedPageBreak/>
        <w:t>5.  Weekly Town Risk and Statewide Cluster Analyses</w:t>
      </w:r>
    </w:p>
    <w:p w:rsidR="001C0DC4" w:rsidRDefault="001C0DC4" w:rsidP="001C0DC4">
      <w:pPr>
        <w:pStyle w:val="xxxxmsonormal"/>
        <w:shd w:val="clear" w:color="auto" w:fill="FFFFFF"/>
        <w:rPr>
          <w:rFonts w:ascii="Calibri" w:hAnsi="Calibri" w:cs="Calibri"/>
          <w:color w:val="000000"/>
          <w:sz w:val="22"/>
          <w:szCs w:val="22"/>
        </w:rPr>
      </w:pP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noProof/>
          <w:color w:val="000000"/>
          <w:bdr w:val="none" w:sz="0" w:space="0" w:color="auto" w:frame="1"/>
        </w:rPr>
        <w:drawing>
          <wp:inline distT="0" distB="0" distL="0" distR="0">
            <wp:extent cx="6097210" cy="6629400"/>
            <wp:effectExtent l="0" t="0" r="0" b="0"/>
            <wp:docPr id="2" name="Picture 2" descr="cid:34baf739-9d78-4743-b792-e61e6dfa4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4baf739-9d78-4743-b792-e61e6dfa4be8"/>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12637" cy="6646174"/>
                    </a:xfrm>
                    <a:prstGeom prst="rect">
                      <a:avLst/>
                    </a:prstGeom>
                    <a:noFill/>
                    <a:ln>
                      <a:noFill/>
                    </a:ln>
                  </pic:spPr>
                </pic:pic>
              </a:graphicData>
            </a:graphic>
          </wp:inline>
        </w:drawing>
      </w:r>
    </w:p>
    <w:p w:rsidR="001C0DC4" w:rsidRDefault="001C0DC4" w:rsidP="001C0DC4">
      <w:pPr>
        <w:pStyle w:val="xxxxmsonormal"/>
        <w:shd w:val="clear" w:color="auto" w:fill="FFFFFF"/>
        <w:rPr>
          <w:rFonts w:ascii="Calibri" w:hAnsi="Calibri" w:cs="Calibri"/>
          <w:color w:val="000000"/>
          <w:sz w:val="22"/>
          <w:szCs w:val="22"/>
        </w:rPr>
      </w:pP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noProof/>
          <w:color w:val="000000"/>
          <w:bdr w:val="none" w:sz="0" w:space="0" w:color="auto" w:frame="1"/>
        </w:rPr>
        <w:lastRenderedPageBreak/>
        <w:drawing>
          <wp:inline distT="0" distB="0" distL="0" distR="0">
            <wp:extent cx="6248400" cy="2511480"/>
            <wp:effectExtent l="0" t="0" r="0" b="3175"/>
            <wp:docPr id="1" name="Picture 1" descr="cid:c5e9c2e0-56f4-467b-9c29-f34e72c1a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c5e9c2e0-56f4-467b-9c29-f34e72c1a73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279084" cy="2523813"/>
                    </a:xfrm>
                    <a:prstGeom prst="rect">
                      <a:avLst/>
                    </a:prstGeom>
                    <a:noFill/>
                    <a:ln>
                      <a:noFill/>
                    </a:ln>
                  </pic:spPr>
                </pic:pic>
              </a:graphicData>
            </a:graphic>
          </wp:inline>
        </w:drawing>
      </w:r>
    </w:p>
    <w:p w:rsidR="001C0DC4" w:rsidRDefault="001C0DC4" w:rsidP="001C0DC4">
      <w:pPr>
        <w:pStyle w:val="xxxxmsonormal"/>
        <w:shd w:val="clear" w:color="auto" w:fill="FFFFFF"/>
        <w:rPr>
          <w:rFonts w:ascii="Calibri" w:hAnsi="Calibri" w:cs="Calibri"/>
          <w:color w:val="000000"/>
          <w:sz w:val="22"/>
          <w:szCs w:val="22"/>
        </w:rPr>
      </w:pPr>
    </w:p>
    <w:p w:rsidR="001C0DC4" w:rsidRDefault="001C0DC4" w:rsidP="001C0DC4">
      <w:pPr>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t>6.  Vaccination</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FFFFFF"/>
          <w:bdr w:val="none" w:sz="0" w:space="0" w:color="auto" w:frame="1"/>
          <w:shd w:val="clear" w:color="auto" w:fill="FFFFFF"/>
        </w:rPr>
        <w:t>​</w:t>
      </w:r>
      <w:r>
        <w:rPr>
          <w:rFonts w:ascii="Calibri" w:hAnsi="Calibri" w:cs="Calibri"/>
          <w:b/>
          <w:bCs/>
          <w:color w:val="000000"/>
          <w:bdr w:val="none" w:sz="0" w:space="0" w:color="auto" w:frame="1"/>
          <w:shd w:val="clear" w:color="auto" w:fill="FFFFFF"/>
        </w:rPr>
        <w:t>Groups eligible for vaccination now are those in Phase 1, Phase 2/Group 1 (persons</w:t>
      </w:r>
      <w:r>
        <w:rPr>
          <w:rFonts w:ascii="Calibri" w:hAnsi="Calibri" w:cs="Calibri"/>
          <w:color w:val="000000"/>
          <w:bdr w:val="none" w:sz="0" w:space="0" w:color="auto" w:frame="1"/>
          <w:shd w:val="clear" w:color="auto" w:fill="FFFFFF"/>
        </w:rPr>
        <w:t> </w:t>
      </w:r>
      <w:r>
        <w:rPr>
          <w:rFonts w:ascii="Calibri" w:hAnsi="Calibri" w:cs="Calibri"/>
          <w:b/>
          <w:bCs/>
          <w:color w:val="000000"/>
          <w:bdr w:val="none" w:sz="0" w:space="0" w:color="auto" w:frame="1"/>
          <w:shd w:val="clear" w:color="auto" w:fill="FFFFFF"/>
        </w:rPr>
        <w:t>aged 75+), and Phase 2/Group 2 (65+, 2+ comorbidities, and residents and staff of low-income senior housing) depending upon availability of vaccine.  </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b/>
          <w:bCs/>
          <w:color w:val="C82613"/>
          <w:bdr w:val="none" w:sz="0" w:space="0" w:color="auto" w:frame="1"/>
          <w:shd w:val="clear" w:color="auto" w:fill="FFFF00"/>
        </w:rPr>
        <w:br/>
      </w:r>
      <w:r>
        <w:rPr>
          <w:rFonts w:ascii="Calibri" w:hAnsi="Calibri" w:cs="Calibri"/>
          <w:b/>
          <w:bCs/>
          <w:color w:val="000000"/>
          <w:bdr w:val="none" w:sz="0" w:space="0" w:color="auto" w:frame="1"/>
          <w:shd w:val="clear" w:color="auto" w:fill="FFFF00"/>
        </w:rPr>
        <w:t>Caregivers </w:t>
      </w:r>
      <w:r>
        <w:rPr>
          <w:rFonts w:ascii="Calibri" w:hAnsi="Calibri" w:cs="Calibri"/>
          <w:color w:val="000000"/>
          <w:bdr w:val="none" w:sz="0" w:space="0" w:color="auto" w:frame="1"/>
        </w:rPr>
        <w:t>(regardless of age) </w:t>
      </w:r>
      <w:r>
        <w:rPr>
          <w:rFonts w:ascii="Calibri" w:hAnsi="Calibri" w:cs="Calibri"/>
          <w:b/>
          <w:bCs/>
          <w:color w:val="000000"/>
          <w:bdr w:val="none" w:sz="0" w:space="0" w:color="auto" w:frame="1"/>
        </w:rPr>
        <w:t>accompanying a 75+ person to their vaccination appointment</w:t>
      </w:r>
      <w:r>
        <w:rPr>
          <w:rFonts w:ascii="Calibri" w:hAnsi="Calibri" w:cs="Calibri"/>
          <w:color w:val="000000"/>
          <w:bdr w:val="none" w:sz="0" w:space="0" w:color="auto" w:frame="1"/>
        </w:rPr>
        <w:t> remain eligible for vaccination and can receive vaccination under these circumstances at DPH mass vaccination sites.  Local vaccination clinics </w:t>
      </w:r>
      <w:r>
        <w:rPr>
          <w:rFonts w:ascii="Calibri" w:hAnsi="Calibri" w:cs="Calibri"/>
          <w:color w:val="000000"/>
          <w:u w:val="single"/>
          <w:bdr w:val="none" w:sz="0" w:space="0" w:color="auto" w:frame="1"/>
        </w:rPr>
        <w:t>may </w:t>
      </w:r>
      <w:r>
        <w:rPr>
          <w:rFonts w:ascii="Calibri" w:hAnsi="Calibri" w:cs="Calibri"/>
          <w:color w:val="000000"/>
          <w:bdr w:val="none" w:sz="0" w:space="0" w:color="auto" w:frame="1"/>
        </w:rPr>
        <w:t>also allow this, but most are not doing so because of constrained vaccine supplies.</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r>
      <w:r>
        <w:rPr>
          <w:rFonts w:ascii="Calibri" w:hAnsi="Calibri" w:cs="Calibri"/>
          <w:b/>
          <w:bCs/>
          <w:color w:val="000000"/>
          <w:sz w:val="22"/>
          <w:szCs w:val="22"/>
          <w:bdr w:val="none" w:sz="0" w:space="0" w:color="auto" w:frame="1"/>
          <w:shd w:val="clear" w:color="auto" w:fill="FFFFFF"/>
        </w:rPr>
        <w:t>​     </w:t>
      </w:r>
      <w:r>
        <w:rPr>
          <w:rFonts w:ascii="Calibri" w:hAnsi="Calibri" w:cs="Calibri"/>
          <w:color w:val="000000"/>
          <w:bdr w:val="none" w:sz="0" w:space="0" w:color="auto" w:frame="1"/>
          <w:shd w:val="clear" w:color="auto" w:fill="FFFFFF"/>
        </w:rPr>
        <w:t>​-Phase 2 of the State Vaccination Plan began on February 1.  </w:t>
      </w:r>
      <w:r>
        <w:rPr>
          <w:rFonts w:ascii="Calibri" w:hAnsi="Calibri" w:cs="Calibri"/>
          <w:b/>
          <w:bCs/>
          <w:color w:val="000000"/>
          <w:bdr w:val="none" w:sz="0" w:space="0" w:color="auto" w:frame="1"/>
          <w:shd w:val="clear" w:color="auto" w:fill="FFFF00"/>
        </w:rPr>
        <w:t>On March 11th K-12 teachers and staff and childcare teachers and staff became eligible for vaccination.</w:t>
      </w:r>
      <w:r>
        <w:rPr>
          <w:rFonts w:ascii="Calibri" w:hAnsi="Calibri" w:cs="Calibri"/>
          <w:color w:val="000000"/>
          <w:sz w:val="22"/>
          <w:szCs w:val="22"/>
        </w:rPr>
        <w:t> </w:t>
      </w:r>
    </w:p>
    <w:p w:rsidR="001C0DC4" w:rsidRDefault="001C0DC4" w:rsidP="001C0DC4">
      <w:pPr>
        <w:pStyle w:val="xxxxmsonormal"/>
        <w:shd w:val="clear" w:color="auto" w:fill="FFFFFF"/>
        <w:rPr>
          <w:rFonts w:ascii="Calibri" w:hAnsi="Calibri" w:cs="Calibri"/>
          <w:color w:val="000000"/>
          <w:sz w:val="22"/>
          <w:szCs w:val="22"/>
        </w:rPr>
      </w:pPr>
    </w:p>
    <w:p w:rsidR="001C0DC4" w:rsidRDefault="001C0DC4" w:rsidP="001C0DC4">
      <w:pPr>
        <w:pStyle w:val="x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T</w:t>
      </w:r>
      <w:r>
        <w:rPr>
          <w:rFonts w:ascii="Calibri" w:hAnsi="Calibri" w:cs="Calibri"/>
          <w:color w:val="0000FF"/>
          <w:bdr w:val="none" w:sz="0" w:space="0" w:color="auto" w:frame="1"/>
          <w:shd w:val="clear" w:color="auto" w:fill="FFFFFF"/>
        </w:rPr>
        <w:t>he DPH has released the timeline by which all remaining groups will become eligible for vaccination:</w:t>
      </w:r>
    </w:p>
    <w:p w:rsidR="001C0DC4" w:rsidRDefault="001C0DC4" w:rsidP="001C0DC4">
      <w:pPr>
        <w:pStyle w:val="xxxxxxmsonormal"/>
        <w:shd w:val="clear" w:color="auto" w:fill="FFFFFF"/>
        <w:rPr>
          <w:rFonts w:ascii="Calibri" w:hAnsi="Calibri" w:cs="Calibri"/>
          <w:color w:val="000000"/>
          <w:sz w:val="22"/>
          <w:szCs w:val="22"/>
        </w:rPr>
      </w:pPr>
    </w:p>
    <w:p w:rsidR="001C0DC4" w:rsidRDefault="001C0DC4" w:rsidP="001C0DC4">
      <w:pPr>
        <w:shd w:val="clear" w:color="auto" w:fill="FFFFFF"/>
        <w:rPr>
          <w:rFonts w:ascii="Calibri" w:hAnsi="Calibri" w:cs="Calibri"/>
          <w:color w:val="0000FF"/>
        </w:rPr>
      </w:pPr>
      <w:r>
        <w:rPr>
          <w:rFonts w:ascii="Calibri" w:hAnsi="Calibri" w:cs="Calibri"/>
          <w:b/>
          <w:bCs/>
          <w:color w:val="0000FF"/>
          <w:u w:val="single"/>
        </w:rPr>
        <w:t>Timeline for remaining groups:</w:t>
      </w:r>
      <w:r>
        <w:rPr>
          <w:rFonts w:ascii="Calibri" w:hAnsi="Calibri" w:cs="Calibri"/>
          <w:color w:val="0000FF"/>
        </w:rPr>
        <w:t xml:space="preserve"> </w:t>
      </w:r>
    </w:p>
    <w:p w:rsidR="001C0DC4" w:rsidRDefault="001C0DC4" w:rsidP="001C0DC4">
      <w:pPr>
        <w:shd w:val="clear" w:color="auto" w:fill="FFFFFF"/>
        <w:rPr>
          <w:rFonts w:ascii="Calibri" w:hAnsi="Calibri" w:cs="Calibri"/>
          <w:color w:val="0000FF"/>
        </w:rPr>
      </w:pPr>
      <w:r>
        <w:rPr>
          <w:rFonts w:ascii="Calibri" w:hAnsi="Calibri" w:cs="Calibri"/>
          <w:color w:val="0000FF"/>
        </w:rPr>
        <w:t xml:space="preserve">March </w:t>
      </w:r>
      <w:proofErr w:type="gramStart"/>
      <w:r>
        <w:rPr>
          <w:rFonts w:ascii="Calibri" w:hAnsi="Calibri" w:cs="Calibri"/>
          <w:color w:val="0000FF"/>
        </w:rPr>
        <w:t>22nd :</w:t>
      </w:r>
      <w:proofErr w:type="gramEnd"/>
      <w:r>
        <w:rPr>
          <w:rFonts w:ascii="Calibri" w:hAnsi="Calibri" w:cs="Calibri"/>
          <w:color w:val="0000FF"/>
        </w:rPr>
        <w:t xml:space="preserve"> Residents 60+ and certain workers (see </w:t>
      </w:r>
      <w:hyperlink r:id="rId31" w:history="1">
        <w:r>
          <w:rPr>
            <w:rStyle w:val="Hyperlink"/>
            <w:rFonts w:ascii="Calibri" w:hAnsi="Calibri" w:cs="Calibri"/>
          </w:rPr>
          <w:t>https://www.mass.gov/info-details/covid-19-vaccinations-for-certain-workers</w:t>
        </w:r>
      </w:hyperlink>
      <w:r>
        <w:rPr>
          <w:rFonts w:ascii="Calibri" w:hAnsi="Calibri" w:cs="Calibri"/>
          <w:color w:val="0000FF"/>
        </w:rPr>
        <w:t>)</w:t>
      </w:r>
    </w:p>
    <w:p w:rsidR="001C0DC4" w:rsidRDefault="001C0DC4" w:rsidP="001C0DC4">
      <w:pPr>
        <w:shd w:val="clear" w:color="auto" w:fill="FFFFFF"/>
        <w:rPr>
          <w:rFonts w:ascii="Calibri" w:hAnsi="Calibri" w:cs="Calibri"/>
          <w:color w:val="0000FF"/>
        </w:rPr>
      </w:pPr>
      <w:r>
        <w:rPr>
          <w:rFonts w:ascii="Calibri" w:hAnsi="Calibri" w:cs="Calibri"/>
          <w:color w:val="0000FF"/>
        </w:rPr>
        <w:t xml:space="preserve">April </w:t>
      </w:r>
      <w:proofErr w:type="gramStart"/>
      <w:r>
        <w:rPr>
          <w:rFonts w:ascii="Calibri" w:hAnsi="Calibri" w:cs="Calibri"/>
          <w:color w:val="0000FF"/>
        </w:rPr>
        <w:t>5th :</w:t>
      </w:r>
      <w:proofErr w:type="gramEnd"/>
      <w:r>
        <w:rPr>
          <w:rFonts w:ascii="Calibri" w:hAnsi="Calibri" w:cs="Calibri"/>
          <w:color w:val="0000FF"/>
        </w:rPr>
        <w:t>       Residents 55+ and residents with one certain medical condition</w:t>
      </w:r>
    </w:p>
    <w:p w:rsidR="001C0DC4" w:rsidRDefault="001C0DC4" w:rsidP="001C0DC4">
      <w:pPr>
        <w:shd w:val="clear" w:color="auto" w:fill="FFFFFF"/>
        <w:rPr>
          <w:rFonts w:ascii="Calibri" w:hAnsi="Calibri" w:cs="Calibri"/>
          <w:color w:val="0000FF"/>
        </w:rPr>
      </w:pPr>
      <w:r>
        <w:rPr>
          <w:rFonts w:ascii="Calibri" w:hAnsi="Calibri" w:cs="Calibri"/>
          <w:color w:val="0000FF"/>
        </w:rPr>
        <w:t>April 19th:      General public ages 16 years of age and older</w:t>
      </w:r>
    </w:p>
    <w:p w:rsidR="001C0DC4" w:rsidRDefault="001C0DC4" w:rsidP="004259F9"/>
    <w:p w:rsidR="007D5D38" w:rsidRDefault="007D5D38" w:rsidP="004259F9"/>
    <w:p w:rsidR="001C0DC4" w:rsidRDefault="001C0DC4" w:rsidP="004259F9"/>
    <w:p w:rsidR="001C0DC4" w:rsidRDefault="001C0DC4" w:rsidP="004259F9"/>
    <w:p w:rsidR="001C0DC4" w:rsidRDefault="001C0DC4" w:rsidP="004259F9"/>
    <w:p w:rsidR="001C0DC4" w:rsidRDefault="001C0DC4" w:rsidP="004259F9"/>
    <w:p w:rsidR="001C0DC4" w:rsidRDefault="001C0DC4" w:rsidP="004259F9"/>
    <w:p w:rsidR="001C0DC4" w:rsidRDefault="001C0DC4" w:rsidP="004259F9"/>
    <w:p w:rsidR="001C0DC4" w:rsidRDefault="001C0DC4" w:rsidP="004259F9"/>
    <w:p w:rsidR="001C0DC4" w:rsidRPr="001C0DC4" w:rsidRDefault="001C0DC4" w:rsidP="001C0DC4">
      <w:pPr>
        <w:jc w:val="center"/>
        <w:rPr>
          <w:b/>
        </w:rPr>
      </w:pPr>
      <w:r>
        <w:rPr>
          <w:b/>
        </w:rPr>
        <w:lastRenderedPageBreak/>
        <w:t>3/19</w:t>
      </w:r>
      <w:r w:rsidRPr="001C0DC4">
        <w:rPr>
          <w:b/>
        </w:rPr>
        <w:t>/21: Barnstable County and Regional COVID-19 Daily Update</w:t>
      </w:r>
    </w:p>
    <w:p w:rsidR="001C0DC4" w:rsidRDefault="001C0DC4" w:rsidP="001C0DC4">
      <w:pPr>
        <w:jc w:val="center"/>
      </w:pPr>
    </w:p>
    <w:p w:rsidR="007D5D38" w:rsidRDefault="007D5D38" w:rsidP="007D5D38">
      <w:pPr>
        <w:rPr>
          <w:color w:val="000000"/>
        </w:rPr>
      </w:pPr>
      <w:r>
        <w:rPr>
          <w:color w:val="C82613"/>
          <w:bdr w:val="none" w:sz="0" w:space="0" w:color="auto" w:frame="1"/>
        </w:rPr>
        <w:t>(N.B.  I am no longer attempting to tally new probable cases alongside new confirmed cases.  I have not received information on probable cases since 12/6/20, at which time Barnstable County had logged a total of 531.)</w:t>
      </w:r>
      <w:r>
        <w:rPr>
          <w:color w:val="000000"/>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Good Morning All.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sz w:val="22"/>
          <w:szCs w:val="22"/>
        </w:rPr>
      </w:pPr>
      <w:r>
        <w:rPr>
          <w:rFonts w:ascii="Calibri" w:hAnsi="Calibri" w:cs="Calibri"/>
          <w:b/>
          <w:bCs/>
          <w:color w:val="000000"/>
          <w:bdr w:val="none" w:sz="0" w:space="0" w:color="auto" w:frame="1"/>
          <w:shd w:val="clear" w:color="auto" w:fill="FFFF80"/>
        </w:rPr>
        <w:t xml:space="preserve">MA Vaccination Eligibility Timeline for all remaining groups has been </w:t>
      </w:r>
      <w:proofErr w:type="gramStart"/>
      <w:r>
        <w:rPr>
          <w:rFonts w:ascii="Calibri" w:hAnsi="Calibri" w:cs="Calibri"/>
          <w:b/>
          <w:bCs/>
          <w:color w:val="000000"/>
          <w:bdr w:val="none" w:sz="0" w:space="0" w:color="auto" w:frame="1"/>
          <w:shd w:val="clear" w:color="auto" w:fill="FFFF80"/>
        </w:rPr>
        <w:t>released</w:t>
      </w:r>
      <w:r>
        <w:rPr>
          <w:rFonts w:ascii="Calibri" w:hAnsi="Calibri" w:cs="Calibri"/>
          <w:b/>
          <w:bCs/>
          <w:color w:val="000000"/>
          <w:bdr w:val="none" w:sz="0" w:space="0" w:color="auto" w:frame="1"/>
          <w:shd w:val="clear" w:color="auto" w:fill="FFFFFF"/>
        </w:rPr>
        <w:t>​</w:t>
      </w:r>
      <w:r>
        <w:rPr>
          <w:rFonts w:ascii="Calibri" w:hAnsi="Calibri" w:cs="Calibri"/>
          <w:color w:val="000000"/>
          <w:bdr w:val="none" w:sz="0" w:space="0" w:color="auto" w:frame="1"/>
          <w:shd w:val="clear" w:color="auto" w:fill="FFFFFF"/>
        </w:rPr>
        <w:t>:</w:t>
      </w:r>
      <w:proofErr w:type="gramEnd"/>
      <w:r>
        <w:rPr>
          <w:rFonts w:ascii="Calibri" w:hAnsi="Calibri" w:cs="Calibri"/>
          <w:color w:val="000000"/>
          <w:bdr w:val="none" w:sz="0" w:space="0" w:color="auto" w:frame="1"/>
          <w:shd w:val="clear" w:color="auto" w:fill="FFFFFF"/>
        </w:rPr>
        <w:t xml:space="preserve"> The DPH has released the timeline by which all remaining groups will become eligible for vaccination:</w:t>
      </w:r>
    </w:p>
    <w:p w:rsidR="007D5D38" w:rsidRDefault="007D5D38" w:rsidP="007D5D38">
      <w:pPr>
        <w:pStyle w:val="xxxxxmsonormal"/>
        <w:shd w:val="clear" w:color="auto" w:fill="FFFFFF"/>
        <w:rPr>
          <w:rFonts w:ascii="Calibri" w:hAnsi="Calibri" w:cs="Calibri"/>
          <w:sz w:val="22"/>
          <w:szCs w:val="22"/>
        </w:rPr>
      </w:pPr>
    </w:p>
    <w:p w:rsidR="007D5D38" w:rsidRDefault="007D5D38" w:rsidP="007D5D38">
      <w:r>
        <w:rPr>
          <w:b/>
          <w:bCs/>
          <w:color w:val="0000FF"/>
          <w:u w:val="single"/>
        </w:rPr>
        <w:t>Timeline for remaining groups:</w:t>
      </w:r>
      <w:r>
        <w:rPr>
          <w:color w:val="0000FF"/>
        </w:rPr>
        <w:t xml:space="preserve"> </w:t>
      </w:r>
    </w:p>
    <w:p w:rsidR="007D5D38" w:rsidRDefault="007D5D38" w:rsidP="007D5D38">
      <w:pPr>
        <w:rPr>
          <w:color w:val="0000FF"/>
        </w:rPr>
      </w:pPr>
    </w:p>
    <w:p w:rsidR="007D5D38" w:rsidRDefault="007D5D38" w:rsidP="007D5D38">
      <w:pPr>
        <w:rPr>
          <w:color w:val="0000FF"/>
        </w:rPr>
      </w:pPr>
      <w:r>
        <w:rPr>
          <w:color w:val="0000FF"/>
        </w:rPr>
        <w:t xml:space="preserve">March </w:t>
      </w:r>
      <w:proofErr w:type="gramStart"/>
      <w:r>
        <w:rPr>
          <w:color w:val="0000FF"/>
        </w:rPr>
        <w:t>22nd :</w:t>
      </w:r>
      <w:proofErr w:type="gramEnd"/>
      <w:r>
        <w:rPr>
          <w:color w:val="0000FF"/>
        </w:rPr>
        <w:t xml:space="preserve"> Residents 60+ and certain workers (see </w:t>
      </w:r>
      <w:hyperlink r:id="rId32" w:history="1">
        <w:r>
          <w:rPr>
            <w:rStyle w:val="Hyperlink"/>
          </w:rPr>
          <w:t>https://www.mass.gov/info-details/covid-19-vaccinations-for-certain-workers</w:t>
        </w:r>
      </w:hyperlink>
      <w:r>
        <w:rPr>
          <w:color w:val="0000FF"/>
        </w:rPr>
        <w:t>, and the table below)</w:t>
      </w:r>
    </w:p>
    <w:p w:rsidR="007D5D38" w:rsidRDefault="007D5D38" w:rsidP="007D5D38">
      <w:pPr>
        <w:rPr>
          <w:color w:val="0000FF"/>
        </w:rPr>
      </w:pPr>
      <w:r>
        <w:rPr>
          <w:color w:val="0000FF"/>
        </w:rPr>
        <w:t xml:space="preserve">April </w:t>
      </w:r>
      <w:proofErr w:type="gramStart"/>
      <w:r>
        <w:rPr>
          <w:color w:val="0000FF"/>
        </w:rPr>
        <w:t>5th :</w:t>
      </w:r>
      <w:proofErr w:type="gramEnd"/>
      <w:r>
        <w:rPr>
          <w:color w:val="0000FF"/>
        </w:rPr>
        <w:t>       Residents 55+ and residents with one certain medical condition</w:t>
      </w:r>
    </w:p>
    <w:p w:rsidR="007D5D38" w:rsidRDefault="007D5D38" w:rsidP="007D5D38">
      <w:pPr>
        <w:rPr>
          <w:color w:val="000000"/>
          <w:bdr w:val="none" w:sz="0" w:space="0" w:color="auto" w:frame="1"/>
          <w:shd w:val="clear" w:color="auto" w:fill="FFFFFF"/>
        </w:rPr>
      </w:pPr>
      <w:r>
        <w:rPr>
          <w:color w:val="0000FF"/>
        </w:rPr>
        <w:t>April 19th:      General public ages 16 years of age and older</w:t>
      </w:r>
      <w:r>
        <w:rPr>
          <w:rFonts w:ascii="Calibri" w:hAnsi="Calibri" w:cs="Calibri"/>
          <w:color w:val="000000"/>
          <w:bdr w:val="none" w:sz="0" w:space="0" w:color="auto" w:frame="1"/>
          <w:shd w:val="clear" w:color="auto" w:fill="FFFFFF"/>
        </w:rPr>
        <w:t>          </w:t>
      </w:r>
    </w:p>
    <w:p w:rsidR="007D5D38" w:rsidRDefault="007D5D38" w:rsidP="007D5D38">
      <w:pPr>
        <w:rPr>
          <w:color w:val="000000"/>
          <w:bdr w:val="none" w:sz="0" w:space="0" w:color="auto" w:frame="1"/>
          <w:shd w:val="clear" w:color="auto" w:fill="FFFFFF"/>
        </w:rPr>
      </w:pPr>
    </w:p>
    <w:p w:rsidR="007D5D38" w:rsidRDefault="007D5D38" w:rsidP="007D5D38">
      <w:pPr>
        <w:rPr>
          <w:rFonts w:ascii="Calibri" w:hAnsi="Calibri" w:cs="Calibri"/>
          <w:sz w:val="22"/>
          <w:szCs w:val="22"/>
        </w:rPr>
      </w:pPr>
    </w:p>
    <w:p w:rsidR="007D5D38" w:rsidRDefault="00C44C63" w:rsidP="007D5D38">
      <w:pPr>
        <w:pStyle w:val="xxxxxmsonormal"/>
        <w:shd w:val="clear" w:color="auto" w:fill="FFFFFF"/>
        <w:rPr>
          <w:rFonts w:ascii="Calibri" w:hAnsi="Calibri" w:cs="Calibri"/>
          <w:sz w:val="22"/>
          <w:szCs w:val="22"/>
        </w:rPr>
      </w:pPr>
      <w:r>
        <w:rPr>
          <w:rFonts w:ascii="Calibri" w:hAnsi="Calibri" w:cs="Calibri"/>
          <w:noProof/>
          <w:color w:val="000000"/>
          <w:bdr w:val="none" w:sz="0" w:space="0" w:color="auto" w:frame="1"/>
          <w:shd w:val="clear" w:color="auto" w:fill="FFFFFF"/>
        </w:rPr>
        <w:drawing>
          <wp:inline distT="0" distB="0" distL="0" distR="0" wp14:anchorId="35BB7E53" wp14:editId="74E9F8FC">
            <wp:extent cx="3507130" cy="4781550"/>
            <wp:effectExtent l="0" t="0" r="0" b="0"/>
            <wp:docPr id="16" name="Picture 16" descr="cid:3ac7aa0d-4f6a-4a43-930b-acbedf838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3ac7aa0d-4f6a-4a43-930b-acbedf8382ab"/>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521340" cy="4800924"/>
                    </a:xfrm>
                    <a:prstGeom prst="rect">
                      <a:avLst/>
                    </a:prstGeom>
                    <a:noFill/>
                    <a:ln>
                      <a:noFill/>
                    </a:ln>
                  </pic:spPr>
                </pic:pic>
              </a:graphicData>
            </a:graphic>
          </wp:inline>
        </w:drawing>
      </w:r>
    </w:p>
    <w:p w:rsidR="007D5D38" w:rsidRDefault="007D5D38" w:rsidP="007D5D38">
      <w:pPr>
        <w:pStyle w:val="xxxxxmsonormal"/>
        <w:shd w:val="clear" w:color="auto" w:fill="FFFFFF"/>
        <w:rPr>
          <w:rFonts w:ascii="Calibri" w:hAnsi="Calibri" w:cs="Calibri"/>
          <w:sz w:val="22"/>
          <w:szCs w:val="22"/>
        </w:rPr>
      </w:pPr>
    </w:p>
    <w:p w:rsidR="007D5D38" w:rsidRDefault="007D5D38" w:rsidP="007D5D38">
      <w:pPr>
        <w:pStyle w:val="xxxxxmsonormal"/>
        <w:shd w:val="clear" w:color="auto" w:fill="FFFFFF"/>
        <w:rPr>
          <w:rFonts w:ascii="Calibri" w:hAnsi="Calibri" w:cs="Calibri"/>
          <w:sz w:val="22"/>
          <w:szCs w:val="22"/>
        </w:rPr>
      </w:pPr>
      <w:r>
        <w:rPr>
          <w:rFonts w:ascii="inherit" w:hAnsi="inherit" w:cs="Calibri"/>
          <w:b/>
          <w:bCs/>
          <w:color w:val="000000"/>
          <w:shd w:val="clear" w:color="auto" w:fill="FFFF80"/>
        </w:rPr>
        <w:t xml:space="preserve">The first case of the Brazilian variant P1 has been announced in Massachusetts in Barnstable County </w:t>
      </w:r>
      <w:r>
        <w:rPr>
          <w:rFonts w:ascii="Calibri" w:hAnsi="Calibri" w:cs="Calibri"/>
          <w:color w:val="000000"/>
          <w:shd w:val="clear" w:color="auto" w:fill="FFFF80"/>
        </w:rPr>
        <w:t>(30 year-old female)</w:t>
      </w:r>
      <w:r>
        <w:rPr>
          <w:rFonts w:ascii="inherit" w:hAnsi="inherit" w:cs="Calibri"/>
          <w:b/>
          <w:bCs/>
          <w:color w:val="000000"/>
          <w:shd w:val="clear" w:color="auto" w:fill="FFFF80"/>
        </w:rPr>
        <w:t>.</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t>SUMMARY:</w:t>
      </w:r>
      <w:r>
        <w:rPr>
          <w:rFonts w:ascii="Calibri" w:hAnsi="Calibri" w:cs="Calibri"/>
          <w:color w:val="000000"/>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1.  </w:t>
      </w:r>
      <w:r>
        <w:rPr>
          <w:rFonts w:ascii="Calibri" w:hAnsi="Calibri" w:cs="Calibri"/>
          <w:b/>
          <w:bCs/>
          <w:color w:val="000000"/>
          <w:u w:val="single"/>
          <w:bdr w:val="none" w:sz="0" w:space="0" w:color="auto" w:frame="1"/>
        </w:rPr>
        <w:t>New Cases:</w:t>
      </w:r>
      <w:r>
        <w:rPr>
          <w:rFonts w:ascii="Calibri" w:hAnsi="Calibri" w:cs="Calibri"/>
          <w:b/>
          <w:bCs/>
          <w:color w:val="000000"/>
          <w:bdr w:val="none" w:sz="0" w:space="0" w:color="auto" w:frame="1"/>
        </w:rPr>
        <w:t>  </w:t>
      </w:r>
      <w:r>
        <w:rPr>
          <w:rFonts w:ascii="Calibri" w:hAnsi="Calibri" w:cs="Calibri"/>
          <w:color w:val="000000"/>
          <w:bdr w:val="none" w:sz="0" w:space="0" w:color="auto" w:frame="1"/>
          <w:shd w:val="clear" w:color="auto" w:fill="FFFFFF"/>
        </w:rPr>
        <w:t>DPH new cases reported yesterday: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                Barnstable County:        82</w:t>
      </w:r>
      <w:r>
        <w:rPr>
          <w:rFonts w:ascii="Calibri" w:hAnsi="Calibri" w:cs="Calibri"/>
          <w:color w:val="000000"/>
          <w:bdr w:val="none" w:sz="0" w:space="0" w:color="auto" w:frame="1"/>
          <w:shd w:val="clear" w:color="auto" w:fill="FFFFFF"/>
        </w:rPr>
        <w:t> new cases</w:t>
      </w:r>
      <w:r>
        <w:rPr>
          <w:rFonts w:ascii="Calibri" w:hAnsi="Calibri" w:cs="Calibri"/>
          <w:color w:val="000000"/>
          <w:bdr w:val="none" w:sz="0" w:space="0" w:color="auto" w:frame="1"/>
        </w:rPr>
        <w:t> (</w:t>
      </w:r>
      <w:r>
        <w:rPr>
          <w:rFonts w:ascii="Calibri" w:hAnsi="Calibri" w:cs="Calibri"/>
          <w:color w:val="000000"/>
          <w:bdr w:val="none" w:sz="0" w:space="0" w:color="auto" w:frame="1"/>
          <w:shd w:val="clear" w:color="auto" w:fill="FFFF80"/>
        </w:rPr>
        <w:t>cases continue climb--mid-Cape sub-region</w:t>
      </w:r>
      <w:r>
        <w:rPr>
          <w:rFonts w:ascii="Calibri" w:hAnsi="Calibri" w:cs="Calibri"/>
          <w:color w:val="000000"/>
          <w:bdr w:val="none" w:sz="0" w:space="0" w:color="auto" w:frame="1"/>
        </w:rPr>
        <w:t>)</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                Martha's Vineyard:          5 </w:t>
      </w:r>
      <w:r>
        <w:rPr>
          <w:rFonts w:ascii="Calibri" w:hAnsi="Calibri" w:cs="Calibri"/>
          <w:color w:val="000000"/>
          <w:bdr w:val="none" w:sz="0" w:space="0" w:color="auto" w:frame="1"/>
          <w:shd w:val="clear" w:color="auto" w:fill="FFFFFF"/>
        </w:rPr>
        <w:t>new cases</w:t>
      </w:r>
      <w:r>
        <w:rPr>
          <w:rFonts w:ascii="Calibri" w:hAnsi="Calibri" w:cs="Calibri"/>
          <w:color w:val="000000"/>
          <w:bdr w:val="none" w:sz="0" w:space="0" w:color="auto" w:frame="1"/>
          <w:shd w:val="clear" w:color="auto" w:fill="FFFFFF"/>
        </w:rPr>
        <w:br/>
      </w:r>
      <w:r>
        <w:rPr>
          <w:rFonts w:ascii="Calibri" w:hAnsi="Calibri" w:cs="Calibri"/>
          <w:b/>
          <w:bCs/>
          <w:color w:val="000000"/>
          <w:bdr w:val="none" w:sz="0" w:space="0" w:color="auto" w:frame="1"/>
          <w:shd w:val="clear" w:color="auto" w:fill="FFFFFF"/>
        </w:rPr>
        <w:t>                Nantucket:                         3</w:t>
      </w:r>
      <w:r>
        <w:rPr>
          <w:rFonts w:ascii="Calibri" w:hAnsi="Calibri" w:cs="Calibri"/>
          <w:color w:val="000000"/>
          <w:bdr w:val="none" w:sz="0" w:space="0" w:color="auto" w:frame="1"/>
          <w:shd w:val="clear" w:color="auto" w:fill="FFFFFF"/>
        </w:rPr>
        <w:t> new cases (</w:t>
      </w:r>
      <w:r>
        <w:rPr>
          <w:rFonts w:ascii="Calibri" w:hAnsi="Calibri" w:cs="Calibri"/>
          <w:color w:val="000000"/>
          <w:bdr w:val="none" w:sz="0" w:space="0" w:color="auto" w:frame="1"/>
          <w:shd w:val="clear" w:color="auto" w:fill="FFFF80"/>
        </w:rPr>
        <w:t>cases continue to climb</w:t>
      </w:r>
      <w:r>
        <w:rPr>
          <w:rFonts w:ascii="Calibri" w:hAnsi="Calibri" w:cs="Calibri"/>
          <w:color w:val="000000"/>
          <w:bdr w:val="none" w:sz="0" w:space="0" w:color="auto" w:frame="1"/>
          <w:shd w:val="clear" w:color="auto" w:fill="FFFFFF"/>
        </w:rPr>
        <w:t>)</w:t>
      </w:r>
      <w:r>
        <w:rPr>
          <w:rFonts w:ascii="Calibri" w:hAnsi="Calibri" w:cs="Calibri"/>
          <w:color w:val="000000"/>
          <w:bdr w:val="none" w:sz="0" w:space="0" w:color="auto" w:frame="1"/>
          <w:shd w:val="clear" w:color="auto" w:fill="FFFFFF"/>
        </w:rPr>
        <w:br/>
      </w:r>
      <w:r>
        <w:rPr>
          <w:rFonts w:ascii="Calibri" w:hAnsi="Calibri" w:cs="Calibri"/>
          <w:color w:val="000000"/>
          <w:bdr w:val="none" w:sz="0" w:space="0" w:color="auto" w:frame="1"/>
          <w:shd w:val="clear" w:color="auto" w:fill="FFFFFF"/>
        </w:rPr>
        <w:br/>
      </w:r>
      <w:r>
        <w:rPr>
          <w:rFonts w:ascii="Calibri" w:hAnsi="Calibri" w:cs="Calibri"/>
          <w:color w:val="000000"/>
          <w:sz w:val="22"/>
          <w:szCs w:val="22"/>
        </w:rPr>
        <w:t> </w:t>
      </w:r>
      <w:r>
        <w:rPr>
          <w:rFonts w:ascii="Calibri" w:hAnsi="Calibri" w:cs="Calibri"/>
          <w:b/>
          <w:bCs/>
          <w:color w:val="000000"/>
          <w:bdr w:val="none" w:sz="0" w:space="0" w:color="auto" w:frame="1"/>
        </w:rPr>
        <w:t>2.  </w:t>
      </w:r>
      <w:r>
        <w:rPr>
          <w:rFonts w:ascii="Calibri" w:hAnsi="Calibri" w:cs="Calibri"/>
          <w:b/>
          <w:bCs/>
          <w:color w:val="000000"/>
          <w:u w:val="single"/>
          <w:bdr w:val="none" w:sz="0" w:space="0" w:color="auto" w:frame="1"/>
        </w:rPr>
        <w:t>Hospitalizations and Fatalities:</w:t>
      </w:r>
      <w:r>
        <w:rPr>
          <w:rFonts w:ascii="Calibri" w:hAnsi="Calibri" w:cs="Calibri"/>
          <w:b/>
          <w:bCs/>
          <w:color w:val="000000"/>
          <w:bdr w:val="none" w:sz="0" w:space="0" w:color="auto" w:frame="1"/>
        </w:rPr>
        <w:t>  </w:t>
      </w:r>
      <w:r>
        <w:rPr>
          <w:rFonts w:ascii="Calibri" w:hAnsi="Calibri" w:cs="Calibri"/>
          <w:color w:val="000000"/>
          <w:bdr w:val="none" w:sz="0" w:space="0" w:color="auto" w:frame="1"/>
        </w:rPr>
        <w:t>3-day avg. </w:t>
      </w:r>
      <w:r>
        <w:rPr>
          <w:rFonts w:ascii="Calibri" w:hAnsi="Calibri" w:cs="Calibri"/>
          <w:color w:val="000000"/>
          <w:u w:val="single"/>
          <w:bdr w:val="none" w:sz="0" w:space="0" w:color="auto" w:frame="1"/>
        </w:rPr>
        <w:t>hospitalizations</w:t>
      </w:r>
      <w:r>
        <w:rPr>
          <w:rFonts w:ascii="Calibri" w:hAnsi="Calibri" w:cs="Calibri"/>
          <w:color w:val="000000"/>
          <w:bdr w:val="none" w:sz="0" w:space="0" w:color="auto" w:frame="1"/>
        </w:rPr>
        <w:t> (now </w:t>
      </w:r>
      <w:r>
        <w:rPr>
          <w:rFonts w:ascii="Calibri" w:hAnsi="Calibri" w:cs="Calibri"/>
          <w:b/>
          <w:bCs/>
          <w:color w:val="000000"/>
          <w:bdr w:val="none" w:sz="0" w:space="0" w:color="auto" w:frame="1"/>
        </w:rPr>
        <w:t>19</w:t>
      </w:r>
      <w:r>
        <w:rPr>
          <w:rFonts w:ascii="Calibri" w:hAnsi="Calibri" w:cs="Calibri"/>
          <w:color w:val="000000"/>
          <w:bdr w:val="none" w:sz="0" w:space="0" w:color="auto" w:frame="1"/>
        </w:rPr>
        <w:t>) remain in the 'teens (they were in the mid-60s in January during the post-holiday surge).  ICU patient numbers have been stable, between </w:t>
      </w:r>
      <w:r>
        <w:rPr>
          <w:rFonts w:ascii="Calibri" w:hAnsi="Calibri" w:cs="Calibri"/>
          <w:b/>
          <w:bCs/>
          <w:color w:val="000000"/>
          <w:bdr w:val="none" w:sz="0" w:space="0" w:color="auto" w:frame="1"/>
        </w:rPr>
        <w:t>2 to 5</w:t>
      </w:r>
      <w:r>
        <w:rPr>
          <w:rFonts w:ascii="Calibri" w:hAnsi="Calibri" w:cs="Calibri"/>
          <w:color w:val="000000"/>
          <w:bdr w:val="none" w:sz="0" w:space="0" w:color="auto" w:frame="1"/>
        </w:rPr>
        <w:t> patients per day (in CCH).  There were</w:t>
      </w:r>
      <w:r>
        <w:rPr>
          <w:rFonts w:ascii="Calibri" w:hAnsi="Calibri" w:cs="Calibri"/>
          <w:b/>
          <w:bCs/>
          <w:color w:val="000000"/>
          <w:bdr w:val="none" w:sz="0" w:space="0" w:color="auto" w:frame="1"/>
        </w:rPr>
        <w:t> 3 COVID fatalities</w:t>
      </w:r>
      <w:r>
        <w:rPr>
          <w:rFonts w:ascii="Calibri" w:hAnsi="Calibri" w:cs="Calibri"/>
          <w:color w:val="000000"/>
          <w:bdr w:val="none" w:sz="0" w:space="0" w:color="auto" w:frame="1"/>
        </w:rPr>
        <w:t> reported yesterday.  CCH and Falmouth Hospital have re-opened to limited visitation.</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t>The first week of March marked the </w:t>
      </w:r>
      <w:r>
        <w:rPr>
          <w:rFonts w:ascii="Calibri" w:hAnsi="Calibri" w:cs="Calibri"/>
          <w:b/>
          <w:bCs/>
          <w:color w:val="C82613"/>
          <w:bdr w:val="none" w:sz="0" w:space="0" w:color="auto" w:frame="1"/>
        </w:rPr>
        <w:t>one-year anniversary</w:t>
      </w:r>
      <w:r>
        <w:rPr>
          <w:rFonts w:ascii="Calibri" w:hAnsi="Calibri" w:cs="Calibri"/>
          <w:color w:val="000000"/>
          <w:bdr w:val="none" w:sz="0" w:space="0" w:color="auto" w:frame="1"/>
        </w:rPr>
        <w:t> of the recognition of the first COVID case in Massachusetts.​  In year 1 of this pandemic the </w:t>
      </w:r>
      <w:r>
        <w:rPr>
          <w:rFonts w:ascii="Calibri" w:hAnsi="Calibri" w:cs="Calibri"/>
          <w:b/>
          <w:bCs/>
          <w:color w:val="000000"/>
          <w:bdr w:val="none" w:sz="0" w:space="0" w:color="auto" w:frame="1"/>
          <w:shd w:val="clear" w:color="auto" w:fill="FFFF80"/>
        </w:rPr>
        <w:t>Barnstable County Case Fatality Rate (CFR) is 4%</w:t>
      </w:r>
      <w:r>
        <w:rPr>
          <w:rFonts w:ascii="Calibri" w:hAnsi="Calibri" w:cs="Calibri"/>
          <w:color w:val="000000"/>
          <w:bdr w:val="none" w:sz="0" w:space="0" w:color="auto" w:frame="1"/>
          <w:shd w:val="clear" w:color="auto" w:fill="FFFF80"/>
        </w:rPr>
        <w:t>, behind only Berkshire and Franklin Counties (which are also remote, rural locales), and is markedly higher than the </w:t>
      </w:r>
      <w:r>
        <w:rPr>
          <w:rFonts w:ascii="Calibri" w:hAnsi="Calibri" w:cs="Calibri"/>
          <w:b/>
          <w:bCs/>
          <w:color w:val="000000"/>
          <w:bdr w:val="none" w:sz="0" w:space="0" w:color="auto" w:frame="1"/>
          <w:shd w:val="clear" w:color="auto" w:fill="FFFF80"/>
        </w:rPr>
        <w:t>state CFR (2.8%)</w:t>
      </w:r>
      <w:r>
        <w:rPr>
          <w:rFonts w:ascii="Calibri" w:hAnsi="Calibri" w:cs="Calibri"/>
          <w:color w:val="000000"/>
          <w:bdr w:val="none" w:sz="0" w:space="0" w:color="auto" w:frame="1"/>
          <w:shd w:val="clear" w:color="auto" w:fill="FFFF80"/>
        </w:rPr>
        <w:t>.</w:t>
      </w:r>
      <w:r>
        <w:rPr>
          <w:rFonts w:ascii="Calibri" w:hAnsi="Calibri" w:cs="Calibri"/>
          <w:color w:val="000000"/>
          <w:sz w:val="22"/>
          <w:szCs w:val="22"/>
          <w:bdr w:val="none" w:sz="0" w:space="0" w:color="auto" w:frame="1"/>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Recent data on COVID </w:t>
      </w:r>
      <w:r>
        <w:rPr>
          <w:rFonts w:ascii="Calibri" w:hAnsi="Calibri" w:cs="Calibri"/>
          <w:color w:val="000000"/>
          <w:u w:val="single"/>
          <w:bdr w:val="none" w:sz="0" w:space="0" w:color="auto" w:frame="1"/>
          <w:shd w:val="clear" w:color="auto" w:fill="FFFFFF"/>
        </w:rPr>
        <w:t>fatalities </w:t>
      </w:r>
      <w:r>
        <w:rPr>
          <w:rFonts w:ascii="Calibri" w:hAnsi="Calibri" w:cs="Calibri"/>
          <w:color w:val="000000"/>
          <w:bdr w:val="none" w:sz="0" w:space="0" w:color="auto" w:frame="1"/>
          <w:shd w:val="clear" w:color="auto" w:fill="FFFFFF"/>
        </w:rPr>
        <w:t>in Barnstable County suggest that residents of </w:t>
      </w:r>
      <w:r>
        <w:rPr>
          <w:rFonts w:ascii="Calibri" w:hAnsi="Calibri" w:cs="Calibri"/>
          <w:b/>
          <w:bCs/>
          <w:color w:val="000000"/>
          <w:bdr w:val="none" w:sz="0" w:space="0" w:color="auto" w:frame="1"/>
          <w:shd w:val="clear" w:color="auto" w:fill="FFFFFF"/>
        </w:rPr>
        <w:t>Long Term Care/Skilled Nursing Facilities/Rest Homes </w:t>
      </w:r>
      <w:r>
        <w:rPr>
          <w:rFonts w:ascii="Calibri" w:hAnsi="Calibri" w:cs="Calibri"/>
          <w:color w:val="000000"/>
          <w:bdr w:val="none" w:sz="0" w:space="0" w:color="auto" w:frame="1"/>
          <w:shd w:val="clear" w:color="auto" w:fill="FFFFFF"/>
        </w:rPr>
        <w:t>represent </w:t>
      </w:r>
      <w:r>
        <w:rPr>
          <w:rFonts w:ascii="Calibri" w:hAnsi="Calibri" w:cs="Calibri"/>
          <w:b/>
          <w:bCs/>
          <w:color w:val="000000"/>
          <w:bdr w:val="none" w:sz="0" w:space="0" w:color="auto" w:frame="1"/>
          <w:shd w:val="clear" w:color="auto" w:fill="FFFFFF"/>
        </w:rPr>
        <w:t>42.5%</w:t>
      </w:r>
      <w:r>
        <w:rPr>
          <w:rFonts w:ascii="Calibri" w:hAnsi="Calibri" w:cs="Calibri"/>
          <w:color w:val="000000"/>
          <w:bdr w:val="none" w:sz="0" w:space="0" w:color="auto" w:frame="1"/>
          <w:shd w:val="clear" w:color="auto" w:fill="FFFFFF"/>
        </w:rPr>
        <w:t> of all fatalities (167 of 393 fatalities, as of 2/23/21).  This is a </w:t>
      </w:r>
      <w:r>
        <w:rPr>
          <w:rFonts w:ascii="Calibri" w:hAnsi="Calibri" w:cs="Calibri"/>
          <w:b/>
          <w:bCs/>
          <w:color w:val="000000"/>
          <w:u w:val="single"/>
          <w:bdr w:val="none" w:sz="0" w:space="0" w:color="auto" w:frame="1"/>
          <w:shd w:val="clear" w:color="auto" w:fill="FFFFFF"/>
        </w:rPr>
        <w:t>lower</w:t>
      </w:r>
      <w:r>
        <w:rPr>
          <w:rFonts w:ascii="Calibri" w:hAnsi="Calibri" w:cs="Calibri"/>
          <w:b/>
          <w:bCs/>
          <w:color w:val="000000"/>
          <w:bdr w:val="none" w:sz="0" w:space="0" w:color="auto" w:frame="1"/>
          <w:shd w:val="clear" w:color="auto" w:fill="FFFFFF"/>
        </w:rPr>
        <w:t> </w:t>
      </w:r>
      <w:r>
        <w:rPr>
          <w:rFonts w:ascii="Calibri" w:hAnsi="Calibri" w:cs="Calibri"/>
          <w:color w:val="000000"/>
          <w:bdr w:val="none" w:sz="0" w:space="0" w:color="auto" w:frame="1"/>
          <w:shd w:val="clear" w:color="auto" w:fill="FFFFFF"/>
        </w:rPr>
        <w:t>percentage than that seen during phase 1 of the pandemic last spring (over 65%), and </w:t>
      </w:r>
      <w:r>
        <w:rPr>
          <w:rFonts w:ascii="Calibri" w:hAnsi="Calibri" w:cs="Calibri"/>
          <w:b/>
          <w:bCs/>
          <w:color w:val="000000"/>
          <w:bdr w:val="none" w:sz="0" w:space="0" w:color="auto" w:frame="1"/>
          <w:shd w:val="clear" w:color="auto" w:fill="FFFFFF"/>
        </w:rPr>
        <w:t>this percentage continues to fall.  Indeed, </w:t>
      </w:r>
      <w:r>
        <w:rPr>
          <w:rFonts w:ascii="Calibri" w:hAnsi="Calibri" w:cs="Calibri"/>
          <w:b/>
          <w:bCs/>
          <w:color w:val="000000"/>
          <w:bdr w:val="none" w:sz="0" w:space="0" w:color="auto" w:frame="1"/>
          <w:shd w:val="clear" w:color="auto" w:fill="FFFF80"/>
        </w:rPr>
        <w:t>between 1/5/21 and 2/23/21 only 20% (28) of 137 fatalities occurred among LTC residents.</w:t>
      </w:r>
      <w:r>
        <w:rPr>
          <w:rFonts w:ascii="Calibri" w:hAnsi="Calibri" w:cs="Calibri"/>
          <w:color w:val="000000"/>
          <w:bdr w:val="none" w:sz="0" w:space="0" w:color="auto" w:frame="1"/>
        </w:rPr>
        <w:br/>
      </w:r>
      <w:r>
        <w:rPr>
          <w:rFonts w:ascii="Calibri" w:hAnsi="Calibri" w:cs="Calibri"/>
          <w:color w:val="000000"/>
          <w:bdr w:val="none" w:sz="0" w:space="0" w:color="auto" w:frame="1"/>
        </w:rPr>
        <w:br/>
      </w:r>
      <w:r>
        <w:rPr>
          <w:rFonts w:ascii="Calibri" w:hAnsi="Calibri" w:cs="Calibri"/>
          <w:b/>
          <w:bCs/>
          <w:color w:val="000000"/>
          <w:bdr w:val="none" w:sz="0" w:space="0" w:color="auto" w:frame="1"/>
        </w:rPr>
        <w:t>3.  </w:t>
      </w:r>
      <w:r>
        <w:rPr>
          <w:rFonts w:ascii="Calibri" w:hAnsi="Calibri" w:cs="Calibri"/>
          <w:b/>
          <w:bCs/>
          <w:color w:val="000000"/>
          <w:u w:val="single"/>
          <w:bdr w:val="none" w:sz="0" w:space="0" w:color="auto" w:frame="1"/>
        </w:rPr>
        <w:t>Schools and Childcare Centers:</w:t>
      </w:r>
      <w:r>
        <w:rPr>
          <w:rFonts w:ascii="Calibri" w:hAnsi="Calibri" w:cs="Calibri"/>
          <w:b/>
          <w:bCs/>
          <w:color w:val="000000"/>
          <w:bdr w:val="none" w:sz="0" w:space="0" w:color="auto" w:frame="1"/>
        </w:rPr>
        <w:t>  </w:t>
      </w:r>
      <w:r>
        <w:rPr>
          <w:rFonts w:ascii="Calibri" w:hAnsi="Calibri" w:cs="Calibri"/>
          <w:color w:val="000000"/>
          <w:bdr w:val="none" w:sz="0" w:space="0" w:color="auto" w:frame="1"/>
        </w:rPr>
        <w:t>Due to the mildness of the flu season the DPH has </w:t>
      </w:r>
      <w:r>
        <w:rPr>
          <w:rFonts w:ascii="Calibri" w:hAnsi="Calibri" w:cs="Calibri"/>
          <w:b/>
          <w:bCs/>
          <w:color w:val="000000"/>
          <w:bdr w:val="none" w:sz="0" w:space="0" w:color="auto" w:frame="1"/>
        </w:rPr>
        <w:t>removed the requirement</w:t>
      </w:r>
      <w:r>
        <w:rPr>
          <w:rFonts w:ascii="Calibri" w:hAnsi="Calibri" w:cs="Calibri"/>
          <w:color w:val="000000"/>
          <w:bdr w:val="none" w:sz="0" w:space="0" w:color="auto" w:frame="1"/>
        </w:rPr>
        <w:t> that all school children receive a flu vaccination on or before 2/28/21.  </w:t>
      </w:r>
      <w:r>
        <w:rPr>
          <w:rFonts w:ascii="Calibri" w:hAnsi="Calibri" w:cs="Calibri"/>
          <w:b/>
          <w:bCs/>
          <w:color w:val="000000"/>
          <w:bdr w:val="none" w:sz="0" w:space="0" w:color="auto" w:frame="1"/>
        </w:rPr>
        <w:t>School districts remain in a hybrid learning model.</w:t>
      </w:r>
      <w:r>
        <w:rPr>
          <w:rFonts w:ascii="Calibri" w:hAnsi="Calibri" w:cs="Calibri"/>
          <w:color w:val="000000"/>
          <w:sz w:val="22"/>
          <w:szCs w:val="22"/>
          <w:bdr w:val="none" w:sz="0" w:space="0" w:color="auto" w:frame="1"/>
        </w:rPr>
        <w:t>  </w:t>
      </w:r>
      <w:r>
        <w:rPr>
          <w:rFonts w:ascii="Calibri" w:hAnsi="Calibri" w:cs="Calibri"/>
          <w:color w:val="000000"/>
          <w:bdr w:val="none" w:sz="0" w:space="0" w:color="auto" w:frame="1"/>
        </w:rPr>
        <w:t>However</w:t>
      </w:r>
      <w:r>
        <w:rPr>
          <w:rFonts w:ascii="Calibri" w:hAnsi="Calibri" w:cs="Calibri"/>
          <w:color w:val="000000"/>
          <w:sz w:val="22"/>
          <w:szCs w:val="22"/>
          <w:bdr w:val="none" w:sz="0" w:space="0" w:color="auto" w:frame="1"/>
        </w:rPr>
        <w:t>, </w:t>
      </w:r>
      <w:r>
        <w:rPr>
          <w:rFonts w:ascii="Calibri" w:hAnsi="Calibri" w:cs="Calibri"/>
          <w:b/>
          <w:bCs/>
          <w:color w:val="000000"/>
          <w:bdr w:val="none" w:sz="0" w:space="0" w:color="auto" w:frame="1"/>
          <w:shd w:val="clear" w:color="auto" w:fill="FFFFFF"/>
        </w:rPr>
        <w:t>DESE Commissioner Jeffrey Riley has announced plans which will compel schools to return to 100% in-person learning, starting with elementary schools, in April.</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4.  </w:t>
      </w:r>
      <w:r>
        <w:rPr>
          <w:rFonts w:ascii="Calibri" w:hAnsi="Calibri" w:cs="Calibri"/>
          <w:b/>
          <w:bCs/>
          <w:color w:val="000000"/>
          <w:u w:val="single"/>
          <w:bdr w:val="none" w:sz="0" w:space="0" w:color="auto" w:frame="1"/>
        </w:rPr>
        <w:t>Testing; </w:t>
      </w:r>
      <w:r>
        <w:rPr>
          <w:rFonts w:ascii="Calibri" w:hAnsi="Calibri" w:cs="Calibri"/>
          <w:b/>
          <w:bCs/>
          <w:color w:val="000000"/>
          <w:u w:val="single"/>
          <w:bdr w:val="none" w:sz="0" w:space="0" w:color="auto" w:frame="1"/>
          <w:shd w:val="clear" w:color="auto" w:fill="FFFF80"/>
        </w:rPr>
        <w:t>Test Positivity Rates</w:t>
      </w:r>
      <w:r>
        <w:rPr>
          <w:rFonts w:ascii="Calibri" w:hAnsi="Calibri" w:cs="Calibri"/>
          <w:b/>
          <w:bCs/>
          <w:color w:val="000000"/>
          <w:bdr w:val="none" w:sz="0" w:space="0" w:color="auto" w:frame="1"/>
          <w:shd w:val="clear" w:color="auto" w:fill="FFFF80"/>
        </w:rPr>
        <w:t> </w:t>
      </w:r>
      <w:r>
        <w:rPr>
          <w:rFonts w:ascii="Calibri" w:hAnsi="Calibri" w:cs="Calibri"/>
          <w:color w:val="000000"/>
          <w:bdr w:val="none" w:sz="0" w:space="0" w:color="auto" w:frame="1"/>
          <w:shd w:val="clear" w:color="auto" w:fill="FFFF80"/>
        </w:rPr>
        <w:t>(14-day, as of 3/17/21)</w:t>
      </w:r>
      <w:r>
        <w:rPr>
          <w:rFonts w:ascii="Calibri" w:hAnsi="Calibri" w:cs="Calibri"/>
          <w:b/>
          <w:bCs/>
          <w:color w:val="000000"/>
          <w:bdr w:val="none" w:sz="0" w:space="0" w:color="auto" w:frame="1"/>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rPr>
          <w:rFonts w:ascii="Calibri" w:hAnsi="Calibri" w:cs="Calibri"/>
          <w:color w:val="000000"/>
          <w:sz w:val="22"/>
          <w:szCs w:val="22"/>
        </w:rPr>
      </w:pPr>
      <w:r>
        <w:rPr>
          <w:rFonts w:ascii="Calibri" w:hAnsi="Calibri" w:cs="Calibri"/>
          <w:b/>
          <w:bCs/>
          <w:color w:val="000000"/>
          <w:bdr w:val="none" w:sz="0" w:space="0" w:color="auto" w:frame="1"/>
        </w:rPr>
        <w:t xml:space="preserve">Barnstable County:                     4.12% </w:t>
      </w:r>
      <w:r>
        <w:rPr>
          <w:rFonts w:ascii="Calibri" w:hAnsi="Calibri" w:cs="Calibri"/>
          <w:color w:val="000000"/>
          <w:bdr w:val="none" w:sz="0" w:space="0" w:color="auto" w:frame="1"/>
        </w:rPr>
        <w:t>(vs. 3.22%)</w:t>
      </w:r>
      <w:r>
        <w:rPr>
          <w:rFonts w:ascii="Calibri" w:hAnsi="Calibri" w:cs="Calibri"/>
          <w:color w:val="000000"/>
          <w:sz w:val="22"/>
          <w:szCs w:val="22"/>
          <w:bdr w:val="none" w:sz="0" w:space="0" w:color="auto" w:frame="1"/>
        </w:rPr>
        <w:t>  </w:t>
      </w:r>
      <w:r>
        <w:rPr>
          <w:rFonts w:ascii="Calibri" w:hAnsi="Calibri" w:cs="Calibri"/>
          <w:color w:val="000000"/>
          <w:bdr w:val="none" w:sz="0" w:space="0" w:color="auto" w:frame="1"/>
        </w:rPr>
        <w:t>(</w:t>
      </w:r>
      <w:proofErr w:type="gramStart"/>
      <w:r>
        <w:rPr>
          <w:rFonts w:ascii="Calibri" w:hAnsi="Calibri" w:cs="Calibri"/>
          <w:color w:val="C82613"/>
          <w:bdr w:val="none" w:sz="0" w:space="0" w:color="auto" w:frame="1"/>
        </w:rPr>
        <w:t>higher</w:t>
      </w:r>
      <w:proofErr w:type="gramEnd"/>
      <w:r>
        <w:rPr>
          <w:rFonts w:ascii="Calibri" w:hAnsi="Calibri" w:cs="Calibri"/>
          <w:color w:val="C82613"/>
          <w:bdr w:val="none" w:sz="0" w:space="0" w:color="auto" w:frame="1"/>
        </w:rPr>
        <w:t> </w:t>
      </w:r>
      <w:r>
        <w:rPr>
          <w:rFonts w:ascii="Calibri" w:hAnsi="Calibri" w:cs="Calibri"/>
          <w:color w:val="000000"/>
          <w:bdr w:val="none" w:sz="0" w:space="0" w:color="auto" w:frame="1"/>
        </w:rPr>
        <w:t>vs. previous fortnight)</w:t>
      </w:r>
      <w:r>
        <w:rPr>
          <w:rFonts w:ascii="Calibri" w:hAnsi="Calibri" w:cs="Calibri"/>
          <w:color w:val="000000"/>
        </w:rPr>
        <w:t> </w:t>
      </w:r>
    </w:p>
    <w:p w:rsidR="007D5D38" w:rsidRDefault="007D5D38" w:rsidP="007D5D38">
      <w:pPr>
        <w:pStyle w:val="xxxxxmsonormal"/>
        <w:rPr>
          <w:rFonts w:ascii="Calibri" w:hAnsi="Calibri" w:cs="Calibri"/>
          <w:color w:val="000000"/>
          <w:sz w:val="22"/>
          <w:szCs w:val="22"/>
        </w:rPr>
      </w:pPr>
      <w:r>
        <w:rPr>
          <w:rFonts w:ascii="Calibri" w:hAnsi="Calibri" w:cs="Calibri"/>
          <w:b/>
          <w:bCs/>
          <w:color w:val="000000"/>
          <w:bdr w:val="none" w:sz="0" w:space="0" w:color="auto" w:frame="1"/>
          <w:shd w:val="clear" w:color="auto" w:fill="FFFFFF"/>
        </w:rPr>
        <w:t xml:space="preserve">Dukes &amp; Nantucket Counties:   2.32% </w:t>
      </w:r>
      <w:r>
        <w:rPr>
          <w:rFonts w:ascii="Calibri" w:hAnsi="Calibri" w:cs="Calibri"/>
          <w:color w:val="000000"/>
          <w:bdr w:val="none" w:sz="0" w:space="0" w:color="auto" w:frame="1"/>
          <w:shd w:val="clear" w:color="auto" w:fill="FFFFFF"/>
        </w:rPr>
        <w:t>(vs. 1.53%)  (</w:t>
      </w:r>
      <w:proofErr w:type="gramStart"/>
      <w:r>
        <w:rPr>
          <w:rFonts w:ascii="Calibri" w:hAnsi="Calibri" w:cs="Calibri"/>
          <w:color w:val="C82613"/>
          <w:bdr w:val="none" w:sz="0" w:space="0" w:color="auto" w:frame="1"/>
          <w:shd w:val="clear" w:color="auto" w:fill="FFFFFF"/>
        </w:rPr>
        <w:t>higher</w:t>
      </w:r>
      <w:proofErr w:type="gramEnd"/>
      <w:r>
        <w:rPr>
          <w:rFonts w:ascii="Calibri" w:hAnsi="Calibri" w:cs="Calibri"/>
          <w:color w:val="000000"/>
          <w:bdr w:val="none" w:sz="0" w:space="0" w:color="auto" w:frame="1"/>
          <w:shd w:val="clear" w:color="auto" w:fill="FFFFFF"/>
        </w:rPr>
        <w:t>)</w:t>
      </w:r>
    </w:p>
    <w:p w:rsidR="007D5D38" w:rsidRDefault="007D5D38" w:rsidP="007D5D38">
      <w:pPr>
        <w:pStyle w:val="xxxxxmsonormal"/>
        <w:rPr>
          <w:rFonts w:ascii="Calibri" w:hAnsi="Calibri" w:cs="Calibri"/>
          <w:color w:val="000000"/>
          <w:sz w:val="22"/>
          <w:szCs w:val="22"/>
        </w:rPr>
      </w:pPr>
      <w:r>
        <w:rPr>
          <w:rFonts w:ascii="Calibri" w:hAnsi="Calibri" w:cs="Calibri"/>
          <w:color w:val="000000"/>
          <w:bdr w:val="none" w:sz="0" w:space="0" w:color="auto" w:frame="1"/>
        </w:rPr>
        <w:br/>
      </w:r>
      <w:r>
        <w:rPr>
          <w:rFonts w:ascii="Calibri" w:hAnsi="Calibri" w:cs="Calibri"/>
          <w:color w:val="000000"/>
        </w:rPr>
        <w:t> </w:t>
      </w:r>
      <w:r>
        <w:rPr>
          <w:rFonts w:ascii="Calibri" w:hAnsi="Calibri" w:cs="Calibri"/>
          <w:color w:val="000000"/>
          <w:sz w:val="22"/>
          <w:szCs w:val="22"/>
          <w:bdr w:val="none" w:sz="0" w:space="0" w:color="auto" w:frame="1"/>
        </w:rPr>
        <w:t> </w:t>
      </w:r>
      <w:r>
        <w:rPr>
          <w:rFonts w:ascii="Calibri" w:hAnsi="Calibri" w:cs="Calibri"/>
          <w:color w:val="000000"/>
          <w:bdr w:val="none" w:sz="0" w:space="0" w:color="auto" w:frame="1"/>
        </w:rPr>
        <w:t>      A test percent positivity rate below 5% suggests that an outbreak is on the way to </w:t>
      </w:r>
      <w:r>
        <w:rPr>
          <w:rFonts w:ascii="Calibri" w:hAnsi="Calibri" w:cs="Calibri"/>
          <w:b/>
          <w:bCs/>
          <w:color w:val="000000"/>
          <w:bdr w:val="none" w:sz="0" w:space="0" w:color="auto" w:frame="1"/>
          <w:shd w:val="clear" w:color="auto" w:fill="FFFF80"/>
        </w:rPr>
        <w:t>containment</w:t>
      </w:r>
      <w:r>
        <w:rPr>
          <w:rFonts w:ascii="Calibri" w:hAnsi="Calibri" w:cs="Calibri"/>
          <w:color w:val="000000"/>
          <w:bdr w:val="none" w:sz="0" w:space="0" w:color="auto" w:frame="1"/>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5.  </w:t>
      </w:r>
      <w:r>
        <w:rPr>
          <w:rFonts w:ascii="Calibri" w:hAnsi="Calibri" w:cs="Calibri"/>
          <w:b/>
          <w:bCs/>
          <w:color w:val="000000"/>
          <w:u w:val="single"/>
          <w:bdr w:val="none" w:sz="0" w:space="0" w:color="auto" w:frame="1"/>
        </w:rPr>
        <w:t>Weekly Town Risk, and Statewide Cluster Analyses</w:t>
      </w:r>
      <w:r>
        <w:rPr>
          <w:rFonts w:ascii="Calibri" w:hAnsi="Calibri" w:cs="Calibri"/>
          <w:color w:val="000000"/>
          <w:bdr w:val="none" w:sz="0" w:space="0" w:color="auto" w:frame="1"/>
        </w:rPr>
        <w:t>:  See charts below (analysis of 3/11/21 data is pending).</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lastRenderedPageBreak/>
        <w:t>6.  </w:t>
      </w:r>
      <w:r>
        <w:rPr>
          <w:rFonts w:ascii="Calibri" w:hAnsi="Calibri" w:cs="Calibri"/>
          <w:b/>
          <w:bCs/>
          <w:color w:val="000000"/>
          <w:u w:val="single"/>
          <w:bdr w:val="none" w:sz="0" w:space="0" w:color="auto" w:frame="1"/>
        </w:rPr>
        <w:t>Vaccination:</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FFFFFF"/>
          <w:bdr w:val="none" w:sz="0" w:space="0" w:color="auto" w:frame="1"/>
          <w:shd w:val="clear" w:color="auto" w:fill="FFFFFF"/>
        </w:rPr>
        <w:t>​</w:t>
      </w:r>
      <w:r>
        <w:rPr>
          <w:rFonts w:ascii="Calibri" w:hAnsi="Calibri" w:cs="Calibri"/>
          <w:color w:val="000000"/>
          <w:bdr w:val="none" w:sz="0" w:space="0" w:color="auto" w:frame="1"/>
          <w:shd w:val="clear" w:color="auto" w:fill="FFFFFF"/>
        </w:rPr>
        <w:t>     -Groups eligible for vaccination now are those in Phase 1, and Phase 2/Group 1 (persons aged 75+), and Phase 2/Group 2 (65+, 2+ comorbidities, residents and staff of low-income senior housing), and (effective 3/11) Phase 2/Group 3 --K-12 and early education/childcare teachers and staff, </w:t>
      </w:r>
      <w:r>
        <w:rPr>
          <w:rFonts w:ascii="Calibri" w:hAnsi="Calibri" w:cs="Calibri"/>
          <w:b/>
          <w:bCs/>
          <w:color w:val="000000"/>
          <w:bdr w:val="none" w:sz="0" w:space="0" w:color="auto" w:frame="1"/>
          <w:shd w:val="clear" w:color="auto" w:fill="FFFFFF"/>
        </w:rPr>
        <w:t>depending upon availability of vaccine.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    -</w:t>
      </w:r>
      <w:r>
        <w:rPr>
          <w:rFonts w:ascii="Calibri" w:hAnsi="Calibri" w:cs="Calibri"/>
          <w:color w:val="000000"/>
          <w:bdr w:val="none" w:sz="0" w:space="0" w:color="auto" w:frame="1"/>
          <w:shd w:val="clear" w:color="auto" w:fill="FFFF00"/>
        </w:rPr>
        <w:t>Caregivers </w:t>
      </w:r>
      <w:r>
        <w:rPr>
          <w:rFonts w:ascii="Calibri" w:hAnsi="Calibri" w:cs="Calibri"/>
          <w:color w:val="000000"/>
          <w:bdr w:val="none" w:sz="0" w:space="0" w:color="auto" w:frame="1"/>
        </w:rPr>
        <w:t>(regardless of age) </w:t>
      </w:r>
      <w:r>
        <w:rPr>
          <w:rFonts w:ascii="Calibri" w:hAnsi="Calibri" w:cs="Calibri"/>
          <w:color w:val="000000"/>
          <w:bdr w:val="none" w:sz="0" w:space="0" w:color="auto" w:frame="1"/>
          <w:shd w:val="clear" w:color="auto" w:fill="FFFF80"/>
        </w:rPr>
        <w:t>accompanying a 75+ person to their vaccination appointment remain eligible for vaccination</w:t>
      </w:r>
      <w:r>
        <w:rPr>
          <w:rFonts w:ascii="Calibri" w:hAnsi="Calibri" w:cs="Calibri"/>
          <w:color w:val="000000"/>
          <w:bdr w:val="none" w:sz="0" w:space="0" w:color="auto" w:frame="1"/>
        </w:rPr>
        <w:t> and can receive vaccination under these circumstances at </w:t>
      </w:r>
      <w:r>
        <w:rPr>
          <w:rFonts w:ascii="Calibri" w:hAnsi="Calibri" w:cs="Calibri"/>
          <w:b/>
          <w:bCs/>
          <w:color w:val="000000"/>
          <w:bdr w:val="none" w:sz="0" w:space="0" w:color="auto" w:frame="1"/>
        </w:rPr>
        <w:t>DPH mass vaccination sites</w:t>
      </w:r>
      <w:r>
        <w:rPr>
          <w:rFonts w:ascii="Calibri" w:hAnsi="Calibri" w:cs="Calibri"/>
          <w:color w:val="000000"/>
          <w:bdr w:val="none" w:sz="0" w:space="0" w:color="auto" w:frame="1"/>
        </w:rPr>
        <w:t>.  Local vaccination clinics </w:t>
      </w:r>
      <w:r>
        <w:rPr>
          <w:rFonts w:ascii="Calibri" w:hAnsi="Calibri" w:cs="Calibri"/>
          <w:color w:val="000000"/>
          <w:u w:val="single"/>
          <w:bdr w:val="none" w:sz="0" w:space="0" w:color="auto" w:frame="1"/>
        </w:rPr>
        <w:t>may </w:t>
      </w:r>
      <w:r>
        <w:rPr>
          <w:rFonts w:ascii="Calibri" w:hAnsi="Calibri" w:cs="Calibri"/>
          <w:color w:val="000000"/>
          <w:bdr w:val="none" w:sz="0" w:space="0" w:color="auto" w:frame="1"/>
        </w:rPr>
        <w:t>also allow this, but most are not doing so because of constrained vaccine supplies.</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sz w:val="22"/>
          <w:szCs w:val="22"/>
          <w:bdr w:val="none" w:sz="0" w:space="0" w:color="auto" w:frame="1"/>
          <w:shd w:val="clear" w:color="auto" w:fill="FFFFFF"/>
        </w:rPr>
        <w:t>​     </w:t>
      </w:r>
      <w:r>
        <w:rPr>
          <w:rFonts w:ascii="Calibri" w:hAnsi="Calibri" w:cs="Calibri"/>
          <w:color w:val="000000"/>
          <w:bdr w:val="none" w:sz="0" w:space="0" w:color="auto" w:frame="1"/>
          <w:shd w:val="clear" w:color="auto" w:fill="FFFFFF"/>
        </w:rPr>
        <w:t>​-Phase 2 of the State Vaccination Plan began on February 1.  </w:t>
      </w:r>
      <w:r>
        <w:rPr>
          <w:rFonts w:ascii="Calibri" w:hAnsi="Calibri" w:cs="Calibri"/>
          <w:b/>
          <w:bCs/>
          <w:color w:val="000000"/>
          <w:bdr w:val="none" w:sz="0" w:space="0" w:color="auto" w:frame="1"/>
          <w:shd w:val="clear" w:color="auto" w:fill="FFFF00"/>
        </w:rPr>
        <w:t>On March 11th K-12 teachers and staff and childcare teachers and staff became eligible for vaccination.</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-Vaccination at local clinics during Phase 2 are by appointment only and </w:t>
      </w:r>
      <w:r>
        <w:rPr>
          <w:rFonts w:ascii="Calibri" w:hAnsi="Calibri" w:cs="Calibri"/>
          <w:b/>
          <w:bCs/>
          <w:color w:val="000000"/>
          <w:bdr w:val="none" w:sz="0" w:space="0" w:color="auto" w:frame="1"/>
          <w:shd w:val="clear" w:color="auto" w:fill="FFFFFF"/>
        </w:rPr>
        <w:t>appointments are announced and able to be scheduled once County and local health authorities are sure of vaccine availability from the DPH</w:t>
      </w:r>
      <w:r>
        <w:rPr>
          <w:rFonts w:ascii="Calibri" w:hAnsi="Calibri" w:cs="Calibri"/>
          <w:color w:val="000000"/>
          <w:bdr w:val="none" w:sz="0" w:space="0" w:color="auto" w:frame="1"/>
          <w:shd w:val="clear" w:color="auto" w:fill="FFFFFF"/>
        </w:rPr>
        <w:t>.  The public is being given notice of planned vaccination clinics for eligible persons in Phase 2.  </w:t>
      </w:r>
      <w:r>
        <w:rPr>
          <w:rFonts w:ascii="Calibri" w:hAnsi="Calibri" w:cs="Calibri"/>
          <w:color w:val="000000"/>
          <w:sz w:val="22"/>
          <w:szCs w:val="22"/>
        </w:rPr>
        <w:t> </w:t>
      </w:r>
    </w:p>
    <w:p w:rsidR="007D5D38" w:rsidRDefault="007D5D38" w:rsidP="007D5D38">
      <w:pPr>
        <w:pStyle w:val="xxxxxmsonormal"/>
        <w:rPr>
          <w:rFonts w:ascii="Calibri" w:hAnsi="Calibri" w:cs="Calibri"/>
          <w:color w:val="000000"/>
          <w:sz w:val="22"/>
          <w:szCs w:val="22"/>
        </w:rPr>
      </w:pPr>
      <w:r>
        <w:rPr>
          <w:rFonts w:ascii="Calibri" w:hAnsi="Calibri" w:cs="Calibri"/>
          <w:color w:val="000000"/>
          <w:sz w:val="21"/>
          <w:szCs w:val="21"/>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-Plans for 4-5 sub-regional mass vaccination sites on Cape Cod, for operation during Phase 2, are in place.  </w:t>
      </w:r>
      <w:r>
        <w:rPr>
          <w:rFonts w:ascii="Calibri" w:hAnsi="Calibri" w:cs="Calibri"/>
          <w:color w:val="000000"/>
          <w:bdr w:val="none" w:sz="0" w:space="0" w:color="auto" w:frame="1"/>
          <w:shd w:val="clear" w:color="auto" w:fill="FFFF00"/>
        </w:rPr>
        <w:t>A </w:t>
      </w:r>
      <w:r>
        <w:rPr>
          <w:rFonts w:ascii="Calibri" w:hAnsi="Calibri" w:cs="Calibri"/>
          <w:b/>
          <w:bCs/>
          <w:color w:val="000000"/>
          <w:bdr w:val="none" w:sz="0" w:space="0" w:color="auto" w:frame="1"/>
          <w:shd w:val="clear" w:color="auto" w:fill="FFFF00"/>
        </w:rPr>
        <w:t>Cape Cod Regional Vaccine Consortium</w:t>
      </w:r>
      <w:r>
        <w:rPr>
          <w:rFonts w:ascii="Calibri" w:hAnsi="Calibri" w:cs="Calibri"/>
          <w:color w:val="000000"/>
          <w:bdr w:val="none" w:sz="0" w:space="0" w:color="auto" w:frame="1"/>
          <w:shd w:val="clear" w:color="auto" w:fill="FFFFFF"/>
        </w:rPr>
        <w:t xml:space="preserve"> has been established via a partnership between the Barnstable County Health </w:t>
      </w:r>
      <w:proofErr w:type="spellStart"/>
      <w:r>
        <w:rPr>
          <w:rFonts w:ascii="Calibri" w:hAnsi="Calibri" w:cs="Calibri"/>
          <w:color w:val="000000"/>
          <w:bdr w:val="none" w:sz="0" w:space="0" w:color="auto" w:frame="1"/>
          <w:shd w:val="clear" w:color="auto" w:fill="FFFFFF"/>
        </w:rPr>
        <w:t>Dept</w:t>
      </w:r>
      <w:proofErr w:type="spellEnd"/>
      <w:r>
        <w:rPr>
          <w:rFonts w:ascii="Calibri" w:hAnsi="Calibri" w:cs="Calibri"/>
          <w:color w:val="000000"/>
          <w:bdr w:val="none" w:sz="0" w:space="0" w:color="auto" w:frame="1"/>
          <w:shd w:val="clear" w:color="auto" w:fill="FFFFFF"/>
        </w:rPr>
        <w:t>, Local Town Boards of Health (LBOHs), Community Health Centers (CHCs), and Cape Cod Healthcare, and has received support from the DPH.  The Consortium has established a </w:t>
      </w:r>
      <w:r>
        <w:rPr>
          <w:rFonts w:ascii="Calibri" w:hAnsi="Calibri" w:cs="Calibri"/>
          <w:b/>
          <w:bCs/>
          <w:color w:val="000000"/>
          <w:bdr w:val="none" w:sz="0" w:space="0" w:color="auto" w:frame="1"/>
          <w:shd w:val="clear" w:color="auto" w:fill="FFFFFF"/>
        </w:rPr>
        <w:t>vaccination site at Cape Cod Community College</w:t>
      </w:r>
      <w:r>
        <w:rPr>
          <w:rFonts w:ascii="Calibri" w:hAnsi="Calibri" w:cs="Calibri"/>
          <w:color w:val="000000"/>
          <w:bdr w:val="none" w:sz="0" w:space="0" w:color="auto" w:frame="1"/>
          <w:shd w:val="clear" w:color="auto" w:fill="FFFFFF"/>
        </w:rPr>
        <w:t> (which opened this week) and is also working with LBOHs and CHC to </w:t>
      </w:r>
      <w:r>
        <w:rPr>
          <w:rFonts w:ascii="Calibri" w:hAnsi="Calibri" w:cs="Calibri"/>
          <w:b/>
          <w:bCs/>
          <w:color w:val="000000"/>
          <w:bdr w:val="none" w:sz="0" w:space="0" w:color="auto" w:frame="1"/>
          <w:shd w:val="clear" w:color="auto" w:fill="FFFFFF"/>
        </w:rPr>
        <w:t>organize in-reach to homebound persons</w:t>
      </w:r>
      <w:r>
        <w:rPr>
          <w:rFonts w:ascii="Calibri" w:hAnsi="Calibri" w:cs="Calibri"/>
          <w:color w:val="000000"/>
          <w:bdr w:val="none" w:sz="0" w:space="0" w:color="auto" w:frame="1"/>
          <w:shd w:val="clear" w:color="auto" w:fill="FFFFFF"/>
        </w:rPr>
        <w:t> to vaccinate them.  </w:t>
      </w:r>
      <w:r>
        <w:rPr>
          <w:rFonts w:ascii="Calibri" w:hAnsi="Calibri" w:cs="Calibri"/>
          <w:b/>
          <w:bCs/>
          <w:color w:val="000000"/>
          <w:bdr w:val="none" w:sz="0" w:space="0" w:color="auto" w:frame="1"/>
          <w:shd w:val="clear" w:color="auto" w:fill="FFFFFF"/>
        </w:rPr>
        <w:t>The DPH is responsible for providing sufficient vaccine in order for the Consortium to reach its full potential.</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w:t>
      </w:r>
      <w:r>
        <w:rPr>
          <w:rFonts w:ascii="Calibri" w:hAnsi="Calibri" w:cs="Calibri"/>
          <w:b/>
          <w:bCs/>
          <w:color w:val="000000"/>
          <w:bdr w:val="none" w:sz="0" w:space="0" w:color="auto" w:frame="1"/>
          <w:shd w:val="clear" w:color="auto" w:fill="80FFFF"/>
        </w:rPr>
        <w:t>The DPH has begun reporting vaccination progress age group and by town</w:t>
      </w:r>
      <w:r>
        <w:rPr>
          <w:rFonts w:ascii="Calibri" w:hAnsi="Calibri" w:cs="Calibri"/>
          <w:color w:val="000000"/>
          <w:bdr w:val="none" w:sz="0" w:space="0" w:color="auto" w:frame="1"/>
          <w:shd w:val="clear" w:color="auto" w:fill="FFFFFF"/>
        </w:rPr>
        <w:t>.  Below is a summary table for Barnstable County by age group.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7.  </w:t>
      </w:r>
      <w:r>
        <w:rPr>
          <w:rFonts w:ascii="Calibri" w:hAnsi="Calibri" w:cs="Calibri"/>
          <w:b/>
          <w:bCs/>
          <w:color w:val="000000"/>
          <w:u w:val="single"/>
          <w:bdr w:val="none" w:sz="0" w:space="0" w:color="auto" w:frame="1"/>
        </w:rPr>
        <w:t>COVID Mutation</w:t>
      </w:r>
      <w:r>
        <w:rPr>
          <w:rFonts w:ascii="Calibri" w:hAnsi="Calibri" w:cs="Calibri"/>
          <w:color w:val="000000"/>
          <w:u w:val="single"/>
          <w:bdr w:val="none" w:sz="0" w:space="0" w:color="auto" w:frame="1"/>
        </w:rPr>
        <w:t> and Changes in Transmissibility/Virulence/Other</w:t>
      </w:r>
      <w:r>
        <w:rPr>
          <w:rFonts w:ascii="Calibri" w:hAnsi="Calibri" w:cs="Calibri"/>
          <w:color w:val="000000"/>
          <w:bdr w:val="none" w:sz="0" w:space="0" w:color="auto" w:frame="1"/>
        </w:rPr>
        <w:t>:  </w:t>
      </w:r>
      <w:r>
        <w:rPr>
          <w:rFonts w:ascii="Calibri" w:hAnsi="Calibri" w:cs="Calibri"/>
          <w:b/>
          <w:bCs/>
          <w:color w:val="000000"/>
          <w:bdr w:val="none" w:sz="0" w:space="0" w:color="auto" w:frame="1"/>
        </w:rPr>
        <w:t>There are </w:t>
      </w:r>
      <w:r>
        <w:rPr>
          <w:rFonts w:ascii="Calibri" w:hAnsi="Calibri" w:cs="Calibri"/>
          <w:b/>
          <w:bCs/>
          <w:color w:val="000000"/>
          <w:bdr w:val="none" w:sz="0" w:space="0" w:color="auto" w:frame="1"/>
          <w:shd w:val="clear" w:color="auto" w:fill="80FFFF"/>
        </w:rPr>
        <w:t>four </w:t>
      </w:r>
      <w:r>
        <w:rPr>
          <w:rFonts w:ascii="Calibri" w:hAnsi="Calibri" w:cs="Calibri"/>
          <w:b/>
          <w:bCs/>
          <w:color w:val="000000"/>
          <w:bdr w:val="none" w:sz="0" w:space="0" w:color="auto" w:frame="1"/>
        </w:rPr>
        <w:t>variants of concern: </w:t>
      </w:r>
      <w:r>
        <w:rPr>
          <w:rFonts w:ascii="Calibri" w:hAnsi="Calibri" w:cs="Calibri"/>
          <w:b/>
          <w:bCs/>
          <w:color w:val="000000"/>
          <w:bdr w:val="none" w:sz="0" w:space="0" w:color="auto" w:frame="1"/>
          <w:shd w:val="clear" w:color="auto" w:fill="FFFFFF"/>
        </w:rPr>
        <w:t>B117 (UK), B1351 (S. Africa), P1 (Brazil), </w:t>
      </w:r>
      <w:r>
        <w:rPr>
          <w:rFonts w:ascii="Calibri" w:hAnsi="Calibri" w:cs="Calibri"/>
          <w:b/>
          <w:bCs/>
          <w:color w:val="000000"/>
          <w:bdr w:val="none" w:sz="0" w:space="0" w:color="auto" w:frame="1"/>
          <w:shd w:val="clear" w:color="auto" w:fill="80FFFF"/>
        </w:rPr>
        <w:t>and B1526 (New York City, </w:t>
      </w:r>
      <w:r>
        <w:rPr>
          <w:rFonts w:ascii="Calibri" w:hAnsi="Calibri" w:cs="Calibri"/>
          <w:color w:val="000000"/>
          <w:bdr w:val="none" w:sz="0" w:space="0" w:color="auto" w:frame="1"/>
          <w:shd w:val="clear" w:color="auto" w:fill="80FFFF"/>
        </w:rPr>
        <w:t>which emerged in November)</w:t>
      </w:r>
      <w:r>
        <w:rPr>
          <w:rFonts w:ascii="Calibri" w:hAnsi="Calibri" w:cs="Calibri"/>
          <w:color w:val="000000"/>
          <w:bdr w:val="none" w:sz="0" w:space="0" w:color="auto" w:frame="1"/>
          <w:shd w:val="clear" w:color="auto" w:fill="FFFFFF"/>
        </w:rPr>
        <w:t>.  All four appear to be significantly more transmissible than the virus which dominated Wave 1 of the pandemic. Within two months of the B117 variant being identified in the UK (October) it became the dominant strain circulating there.  The CDC is now posting surveillance information on the emergence of the B117 variant in the US:  </w:t>
      </w:r>
      <w:hyperlink r:id="rId35" w:history="1">
        <w:r>
          <w:rPr>
            <w:rStyle w:val="Hyperlink"/>
            <w:rFonts w:ascii="Calibri" w:hAnsi="Calibri" w:cs="Calibri"/>
            <w:bdr w:val="none" w:sz="0" w:space="0" w:color="auto" w:frame="1"/>
            <w:shd w:val="clear" w:color="auto" w:fill="FFFFFF"/>
          </w:rPr>
          <w:t>https://www.cdc.gov/coronavirus/2019-ncov/transmission/variant-cases.html</w:t>
        </w:r>
      </w:hyperlink>
      <w:r>
        <w:rPr>
          <w:rFonts w:ascii="Calibri" w:hAnsi="Calibri" w:cs="Calibri"/>
          <w:color w:val="000000"/>
          <w:bdr w:val="none" w:sz="0" w:space="0" w:color="auto" w:frame="1"/>
          <w:shd w:val="clear" w:color="auto" w:fill="FFFFFF"/>
        </w:rPr>
        <w:t>.​   Existing vaccines </w:t>
      </w:r>
      <w:r>
        <w:rPr>
          <w:rFonts w:ascii="Calibri" w:hAnsi="Calibri" w:cs="Calibri"/>
          <w:color w:val="000000"/>
          <w:u w:val="single"/>
          <w:bdr w:val="none" w:sz="0" w:space="0" w:color="auto" w:frame="1"/>
          <w:shd w:val="clear" w:color="auto" w:fill="FFFFFF"/>
        </w:rPr>
        <w:t>may </w:t>
      </w:r>
      <w:r>
        <w:rPr>
          <w:rFonts w:ascii="Calibri" w:hAnsi="Calibri" w:cs="Calibri"/>
          <w:color w:val="000000"/>
          <w:bdr w:val="none" w:sz="0" w:space="0" w:color="auto" w:frame="1"/>
          <w:shd w:val="clear" w:color="auto" w:fill="FFFFFF"/>
        </w:rPr>
        <w:t>be less effective against these new strains.  The degree to which this may be so is being investigated.  </w:t>
      </w:r>
      <w:proofErr w:type="spellStart"/>
      <w:r>
        <w:rPr>
          <w:rFonts w:ascii="Calibri" w:hAnsi="Calibri" w:cs="Calibri"/>
          <w:color w:val="000000"/>
          <w:bdr w:val="none" w:sz="0" w:space="0" w:color="auto" w:frame="1"/>
          <w:shd w:val="clear" w:color="auto" w:fill="FFFFFF"/>
        </w:rPr>
        <w:t>Moderna</w:t>
      </w:r>
      <w:proofErr w:type="spellEnd"/>
      <w:r>
        <w:rPr>
          <w:rFonts w:ascii="Calibri" w:hAnsi="Calibri" w:cs="Calibri"/>
          <w:color w:val="000000"/>
          <w:bdr w:val="none" w:sz="0" w:space="0" w:color="auto" w:frame="1"/>
          <w:shd w:val="clear" w:color="auto" w:fill="FFFFFF"/>
        </w:rPr>
        <w:t xml:space="preserve"> and Pfizer are working on a booster shot to counter these new strains.</w:t>
      </w:r>
      <w:r>
        <w:rPr>
          <w:rFonts w:ascii="Calibri" w:hAnsi="Calibri" w:cs="Calibri"/>
          <w:color w:val="000000"/>
          <w:bdr w:val="none" w:sz="0" w:space="0" w:color="auto" w:frame="1"/>
        </w:rPr>
        <w:t> </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-B1526 now accounts for 40% of new cases in NYC</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sz w:val="22"/>
          <w:szCs w:val="22"/>
          <w:shd w:val="clear" w:color="auto" w:fill="FFFFFF"/>
        </w:rPr>
        <w:t>    </w:t>
      </w:r>
      <w:r>
        <w:rPr>
          <w:rFonts w:ascii="Calibri" w:hAnsi="Calibri" w:cs="Calibri"/>
          <w:b/>
          <w:bCs/>
          <w:color w:val="000000"/>
          <w:sz w:val="22"/>
          <w:szCs w:val="22"/>
          <w:shd w:val="clear" w:color="auto" w:fill="FFFFFF"/>
        </w:rPr>
        <w:t> </w:t>
      </w:r>
      <w:r>
        <w:rPr>
          <w:rFonts w:ascii="Calibri" w:hAnsi="Calibri" w:cs="Calibri"/>
          <w:b/>
          <w:bCs/>
          <w:color w:val="000000"/>
          <w:bdr w:val="none" w:sz="0" w:space="0" w:color="auto" w:frame="1"/>
          <w:shd w:val="clear" w:color="auto" w:fill="FFFFFF"/>
        </w:rPr>
        <w:t>-B117 and B1351 have been identified in Massachusetts.</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shd w:val="clear" w:color="auto" w:fill="FFFF00"/>
        </w:rPr>
        <w:t>     -The first case of the Brazilian variant P1 has been announced in Massachusetts in Barnstable County.</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u w:val="single"/>
        </w:rPr>
        <w:lastRenderedPageBreak/>
        <w:t>REPORT DETAIL:</w:t>
      </w:r>
    </w:p>
    <w:p w:rsidR="007D5D38" w:rsidRDefault="007D5D38" w:rsidP="007D5D38">
      <w:pPr>
        <w:pStyle w:val="xxxxxmsonormal"/>
        <w:shd w:val="clear" w:color="auto" w:fill="FFFFFF"/>
        <w:rPr>
          <w:rFonts w:ascii="Calibri" w:hAnsi="Calibri" w:cs="Calibri"/>
          <w:color w:val="000000"/>
          <w:sz w:val="22"/>
          <w:szCs w:val="22"/>
        </w:rPr>
      </w:pP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t>1.  New Cases</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80"/>
        </w:rPr>
        <w:t>Daily new case numbers in Barnstable County are moving upward again</w:t>
      </w:r>
      <w:r>
        <w:rPr>
          <w:rFonts w:ascii="Calibri" w:hAnsi="Calibri" w:cs="Calibri"/>
          <w:color w:val="000000"/>
          <w:bdr w:val="none" w:sz="0" w:space="0" w:color="auto" w:frame="1"/>
        </w:rPr>
        <w:t>, following a major decline since the holiday season surge. </w:t>
      </w:r>
      <w:r>
        <w:rPr>
          <w:rFonts w:ascii="Calibri" w:hAnsi="Calibri" w:cs="Calibri"/>
          <w:b/>
          <w:bCs/>
          <w:color w:val="000000"/>
          <w:bdr w:val="none" w:sz="0" w:space="0" w:color="auto" w:frame="1"/>
        </w:rPr>
        <w:t> 192 cases </w:t>
      </w:r>
      <w:r>
        <w:rPr>
          <w:rFonts w:ascii="Calibri" w:hAnsi="Calibri" w:cs="Calibri"/>
          <w:color w:val="000000"/>
          <w:bdr w:val="none" w:sz="0" w:space="0" w:color="auto" w:frame="1"/>
        </w:rPr>
        <w:t>were reported over the weekend (Friday to Sunday, inclusive), a further 176 cases</w:t>
      </w:r>
      <w:r>
        <w:rPr>
          <w:rFonts w:ascii="Calibri" w:hAnsi="Calibri" w:cs="Calibri"/>
          <w:b/>
          <w:bCs/>
          <w:color w:val="000000"/>
          <w:bdr w:val="none" w:sz="0" w:space="0" w:color="auto" w:frame="1"/>
        </w:rPr>
        <w:t> </w:t>
      </w:r>
      <w:r>
        <w:rPr>
          <w:rFonts w:ascii="Calibri" w:hAnsi="Calibri" w:cs="Calibri"/>
          <w:color w:val="000000"/>
          <w:bdr w:val="none" w:sz="0" w:space="0" w:color="auto" w:frame="1"/>
        </w:rPr>
        <w:t xml:space="preserve">were reported Monday-Wednesday, and 82 cases were reported yesterday.  </w:t>
      </w:r>
      <w:r>
        <w:rPr>
          <w:rFonts w:ascii="Calibri" w:hAnsi="Calibri" w:cs="Calibri"/>
          <w:b/>
          <w:bCs/>
          <w:color w:val="000000"/>
          <w:bdr w:val="none" w:sz="0" w:space="0" w:color="auto" w:frame="1"/>
        </w:rPr>
        <w:t>The case increases are most prominent in the mid-Cape region</w:t>
      </w:r>
      <w:r>
        <w:rPr>
          <w:rFonts w:ascii="Calibri" w:hAnsi="Calibri" w:cs="Calibri"/>
          <w:color w:val="000000"/>
          <w:bdr w:val="none" w:sz="0" w:space="0" w:color="auto" w:frame="1"/>
        </w:rPr>
        <w:t xml:space="preserve">.  The 7-day average new cases per 100,000 has increased to </w:t>
      </w:r>
      <w:r>
        <w:rPr>
          <w:rFonts w:ascii="Calibri" w:hAnsi="Calibri" w:cs="Calibri"/>
          <w:b/>
          <w:bCs/>
          <w:color w:val="000000"/>
          <w:bdr w:val="none" w:sz="0" w:space="0" w:color="auto" w:frame="1"/>
        </w:rPr>
        <w:t>30/100K</w:t>
      </w:r>
      <w:r>
        <w:rPr>
          <w:rFonts w:ascii="Calibri" w:hAnsi="Calibri" w:cs="Calibri"/>
          <w:color w:val="000000"/>
          <w:bdr w:val="none" w:sz="0" w:space="0" w:color="auto" w:frame="1"/>
        </w:rPr>
        <w:t>, with Barnstable County acquiring an </w:t>
      </w:r>
      <w:r>
        <w:rPr>
          <w:rFonts w:ascii="Calibri" w:hAnsi="Calibri" w:cs="Calibri"/>
          <w:b/>
          <w:bCs/>
          <w:color w:val="000000"/>
          <w:bdr w:val="none" w:sz="0" w:space="0" w:color="auto" w:frame="1"/>
        </w:rPr>
        <w:t>average of 64 cases per day over the past 7 days</w:t>
      </w:r>
      <w:r>
        <w:rPr>
          <w:rFonts w:ascii="Calibri" w:hAnsi="Calibri" w:cs="Calibri"/>
          <w:color w:val="000000"/>
          <w:bdr w:val="none" w:sz="0" w:space="0" w:color="auto" w:frame="1"/>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r>
      <w:r>
        <w:rPr>
          <w:rFonts w:ascii="Calibri" w:hAnsi="Calibri" w:cs="Calibri"/>
          <w:noProof/>
          <w:color w:val="000000"/>
          <w:bdr w:val="none" w:sz="0" w:space="0" w:color="auto" w:frame="1"/>
        </w:rPr>
        <w:drawing>
          <wp:inline distT="0" distB="0" distL="0" distR="0" wp14:anchorId="3E16D693" wp14:editId="0D329701">
            <wp:extent cx="5695950" cy="3270460"/>
            <wp:effectExtent l="0" t="0" r="0" b="6350"/>
            <wp:docPr id="15" name="Picture 15" descr="cid:f92834c5-0689-4990-9472-2752eb1b4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f92834c5-0689-4990-9472-2752eb1b4f6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702537" cy="3274242"/>
                    </a:xfrm>
                    <a:prstGeom prst="rect">
                      <a:avLst/>
                    </a:prstGeom>
                    <a:noFill/>
                    <a:ln>
                      <a:noFill/>
                    </a:ln>
                  </pic:spPr>
                </pic:pic>
              </a:graphicData>
            </a:graphic>
          </wp:inline>
        </w:drawing>
      </w:r>
      <w:r>
        <w:rPr>
          <w:rFonts w:ascii="Calibri" w:hAnsi="Calibri" w:cs="Calibri"/>
          <w:color w:val="000000"/>
          <w:bdr w:val="none" w:sz="0" w:space="0" w:color="auto" w:frame="1"/>
        </w:rPr>
        <w:br/>
      </w:r>
      <w:r>
        <w:rPr>
          <w:rFonts w:ascii="Calibri" w:hAnsi="Calibri" w:cs="Calibri"/>
          <w:color w:val="000000"/>
          <w:sz w:val="22"/>
          <w:szCs w:val="22"/>
        </w:rPr>
        <w:t> </w:t>
      </w:r>
      <w:r>
        <w:rPr>
          <w:rFonts w:ascii="Calibri" w:hAnsi="Calibri" w:cs="Calibri"/>
          <w:color w:val="000000"/>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Nantucket's </w:t>
      </w:r>
      <w:r>
        <w:rPr>
          <w:rFonts w:ascii="Calibri" w:hAnsi="Calibri" w:cs="Calibri"/>
          <w:color w:val="000000"/>
          <w:bdr w:val="none" w:sz="0" w:space="0" w:color="auto" w:frame="1"/>
          <w:shd w:val="clear" w:color="auto" w:fill="FFFF00"/>
        </w:rPr>
        <w:t>7-day average cases </w:t>
      </w:r>
      <w:r>
        <w:rPr>
          <w:rFonts w:ascii="Calibri" w:hAnsi="Calibri" w:cs="Calibri"/>
          <w:color w:val="000000"/>
          <w:u w:val="single"/>
          <w:bdr w:val="none" w:sz="0" w:space="0" w:color="auto" w:frame="1"/>
          <w:shd w:val="clear" w:color="auto" w:fill="FFFF00"/>
        </w:rPr>
        <w:t>per 100,000 population</w:t>
      </w:r>
      <w:r>
        <w:rPr>
          <w:rFonts w:ascii="Calibri" w:hAnsi="Calibri" w:cs="Calibri"/>
          <w:color w:val="000000"/>
          <w:bdr w:val="none" w:sz="0" w:space="0" w:color="auto" w:frame="1"/>
          <w:shd w:val="clear" w:color="auto" w:fill="FFFF00"/>
        </w:rPr>
        <w:t xml:space="preserve"> (now </w:t>
      </w:r>
      <w:r>
        <w:rPr>
          <w:rFonts w:ascii="Calibri" w:hAnsi="Calibri" w:cs="Calibri"/>
          <w:b/>
          <w:bCs/>
          <w:color w:val="000000"/>
          <w:bdr w:val="none" w:sz="0" w:space="0" w:color="auto" w:frame="1"/>
          <w:shd w:val="clear" w:color="auto" w:fill="FFFF00"/>
        </w:rPr>
        <w:t>45/100K</w:t>
      </w:r>
      <w:r>
        <w:rPr>
          <w:rFonts w:ascii="Calibri" w:hAnsi="Calibri" w:cs="Calibri"/>
          <w:color w:val="000000"/>
          <w:bdr w:val="none" w:sz="0" w:space="0" w:color="auto" w:frame="1"/>
          <w:shd w:val="clear" w:color="auto" w:fill="FFFF00"/>
        </w:rPr>
        <w:t>) remains high</w:t>
      </w:r>
      <w:r>
        <w:rPr>
          <w:rFonts w:ascii="Calibri" w:hAnsi="Calibri" w:cs="Calibri"/>
          <w:color w:val="000000"/>
          <w:bdr w:val="none" w:sz="0" w:space="0" w:color="auto" w:frame="1"/>
        </w:rPr>
        <w:t xml:space="preserve">.  On average (7-day) Nantucket is now picking up </w:t>
      </w:r>
      <w:r>
        <w:rPr>
          <w:rFonts w:ascii="Calibri" w:hAnsi="Calibri" w:cs="Calibri"/>
          <w:b/>
          <w:bCs/>
          <w:color w:val="000000"/>
          <w:bdr w:val="none" w:sz="0" w:space="0" w:color="auto" w:frame="1"/>
        </w:rPr>
        <w:t>5 </w:t>
      </w:r>
      <w:r>
        <w:rPr>
          <w:rFonts w:ascii="Calibri" w:hAnsi="Calibri" w:cs="Calibri"/>
          <w:color w:val="000000"/>
          <w:bdr w:val="none" w:sz="0" w:space="0" w:color="auto" w:frame="1"/>
        </w:rPr>
        <w:t>new cases per day.  </w:t>
      </w:r>
      <w:r>
        <w:rPr>
          <w:rFonts w:ascii="Calibri" w:hAnsi="Calibri" w:cs="Calibri"/>
          <w:b/>
          <w:bCs/>
          <w:color w:val="000000"/>
          <w:bdr w:val="none" w:sz="0" w:space="0" w:color="auto" w:frame="1"/>
          <w:shd w:val="clear" w:color="auto" w:fill="FFFFFF"/>
        </w:rPr>
        <w:t>26 cases </w:t>
      </w:r>
      <w:r>
        <w:rPr>
          <w:rFonts w:ascii="Calibri" w:hAnsi="Calibri" w:cs="Calibri"/>
          <w:color w:val="000000"/>
          <w:bdr w:val="none" w:sz="0" w:space="0" w:color="auto" w:frame="1"/>
          <w:shd w:val="clear" w:color="auto" w:fill="FFFFFF"/>
        </w:rPr>
        <w:t xml:space="preserve">were reported over the weekend (Friday to Sunday, inclusive), </w:t>
      </w:r>
      <w:r>
        <w:rPr>
          <w:rFonts w:ascii="Calibri" w:hAnsi="Calibri" w:cs="Calibri"/>
          <w:b/>
          <w:bCs/>
          <w:color w:val="000000"/>
          <w:bdr w:val="none" w:sz="0" w:space="0" w:color="auto" w:frame="1"/>
          <w:shd w:val="clear" w:color="auto" w:fill="FFFFFF"/>
        </w:rPr>
        <w:t>7</w:t>
      </w:r>
      <w:r>
        <w:rPr>
          <w:rFonts w:ascii="Calibri" w:hAnsi="Calibri" w:cs="Calibri"/>
          <w:color w:val="000000"/>
          <w:bdr w:val="none" w:sz="0" w:space="0" w:color="auto" w:frame="1"/>
          <w:shd w:val="clear" w:color="auto" w:fill="FFFFFF"/>
        </w:rPr>
        <w:t xml:space="preserve"> new cases were reported yesterday.</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Martha's Vineyard's </w:t>
      </w:r>
      <w:r>
        <w:rPr>
          <w:rFonts w:ascii="Calibri" w:hAnsi="Calibri" w:cs="Calibri"/>
          <w:color w:val="000000"/>
          <w:bdr w:val="none" w:sz="0" w:space="0" w:color="auto" w:frame="1"/>
          <w:shd w:val="clear" w:color="auto" w:fill="FFFFFF"/>
        </w:rPr>
        <w:t>7-day average cases </w:t>
      </w:r>
      <w:r>
        <w:rPr>
          <w:rFonts w:ascii="Calibri" w:hAnsi="Calibri" w:cs="Calibri"/>
          <w:color w:val="000000"/>
          <w:u w:val="single"/>
          <w:bdr w:val="none" w:sz="0" w:space="0" w:color="auto" w:frame="1"/>
          <w:shd w:val="clear" w:color="auto" w:fill="FFFFFF"/>
        </w:rPr>
        <w:t>per 100,000 population</w:t>
      </w:r>
      <w:r>
        <w:rPr>
          <w:rFonts w:ascii="Calibri" w:hAnsi="Calibri" w:cs="Calibri"/>
          <w:color w:val="000000"/>
          <w:bdr w:val="none" w:sz="0" w:space="0" w:color="auto" w:frame="1"/>
          <w:shd w:val="clear" w:color="auto" w:fill="FFFFFF"/>
        </w:rPr>
        <w:t> (</w:t>
      </w:r>
      <w:r>
        <w:rPr>
          <w:rFonts w:ascii="Calibri" w:hAnsi="Calibri" w:cs="Calibri"/>
          <w:b/>
          <w:bCs/>
          <w:color w:val="000000"/>
          <w:bdr w:val="none" w:sz="0" w:space="0" w:color="auto" w:frame="1"/>
          <w:shd w:val="clear" w:color="auto" w:fill="FFFFFF"/>
        </w:rPr>
        <w:t>4/100K</w:t>
      </w:r>
      <w:r>
        <w:rPr>
          <w:rFonts w:ascii="Calibri" w:hAnsi="Calibri" w:cs="Calibri"/>
          <w:color w:val="000000"/>
          <w:bdr w:val="none" w:sz="0" w:space="0" w:color="auto" w:frame="1"/>
          <w:shd w:val="clear" w:color="auto" w:fill="FFFFFF"/>
        </w:rPr>
        <w:t>) remains very low.  On average Dukes County is gaining approximately </w:t>
      </w:r>
      <w:r>
        <w:rPr>
          <w:rFonts w:ascii="Calibri" w:hAnsi="Calibri" w:cs="Calibri"/>
          <w:b/>
          <w:bCs/>
          <w:color w:val="000000"/>
          <w:bdr w:val="none" w:sz="0" w:space="0" w:color="auto" w:frame="1"/>
          <w:shd w:val="clear" w:color="auto" w:fill="FFFFFF"/>
        </w:rPr>
        <w:t>1.4</w:t>
      </w:r>
      <w:r>
        <w:rPr>
          <w:rFonts w:ascii="Calibri" w:hAnsi="Calibri" w:cs="Calibri"/>
          <w:color w:val="000000"/>
          <w:bdr w:val="none" w:sz="0" w:space="0" w:color="auto" w:frame="1"/>
          <w:shd w:val="clear" w:color="auto" w:fill="FFFFFF"/>
        </w:rPr>
        <w:t> new cases per day.</w:t>
      </w:r>
      <w:r>
        <w:rPr>
          <w:rFonts w:ascii="Calibri" w:hAnsi="Calibri" w:cs="Calibri"/>
          <w:b/>
          <w:bCs/>
          <w:color w:val="000000"/>
          <w:bdr w:val="none" w:sz="0" w:space="0" w:color="auto" w:frame="1"/>
          <w:shd w:val="clear" w:color="auto" w:fill="FFFFFF"/>
        </w:rPr>
        <w:t xml:space="preserve">  5 </w:t>
      </w:r>
      <w:r>
        <w:rPr>
          <w:rFonts w:ascii="Calibri" w:hAnsi="Calibri" w:cs="Calibri"/>
          <w:color w:val="000000"/>
          <w:bdr w:val="none" w:sz="0" w:space="0" w:color="auto" w:frame="1"/>
          <w:shd w:val="clear" w:color="auto" w:fill="FFFFFF"/>
        </w:rPr>
        <w:t>cases were reported yesterday.</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t>Trailing 14-Day Testing and Cases by County:</w:t>
      </w:r>
      <w:r>
        <w:rPr>
          <w:rFonts w:ascii="Calibri" w:hAnsi="Calibri" w:cs="Calibri"/>
          <w:color w:val="000000"/>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t>In the context of adequate availability of testing and contact tracing, which our three counties appear to have achieved, </w:t>
      </w:r>
      <w:r>
        <w:rPr>
          <w:rFonts w:ascii="Calibri" w:hAnsi="Calibri" w:cs="Calibri"/>
          <w:b/>
          <w:bCs/>
          <w:color w:val="000000"/>
          <w:bdr w:val="none" w:sz="0" w:space="0" w:color="auto" w:frame="1"/>
        </w:rPr>
        <w:t xml:space="preserve">a test percent positivity rate below 5% suggests that </w:t>
      </w:r>
      <w:r>
        <w:rPr>
          <w:rFonts w:ascii="Calibri" w:hAnsi="Calibri" w:cs="Calibri"/>
          <w:b/>
          <w:bCs/>
          <w:color w:val="000000"/>
          <w:bdr w:val="none" w:sz="0" w:space="0" w:color="auto" w:frame="1"/>
        </w:rPr>
        <w:lastRenderedPageBreak/>
        <w:t>an outbreak is on the way to containment</w:t>
      </w:r>
      <w:r>
        <w:rPr>
          <w:rFonts w:ascii="Calibri" w:hAnsi="Calibri" w:cs="Calibri"/>
          <w:color w:val="000000"/>
          <w:bdr w:val="none" w:sz="0" w:space="0" w:color="auto" w:frame="1"/>
        </w:rPr>
        <w:t>.  Rates below 3% and 1% are further important containment milestones.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Test Positivity Rates (14-day, as of 3/17/21):</w:t>
      </w:r>
      <w:r>
        <w:rPr>
          <w:rFonts w:ascii="Calibri" w:hAnsi="Calibri" w:cs="Calibri"/>
          <w:color w:val="000000"/>
          <w:sz w:val="22"/>
          <w:szCs w:val="22"/>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Barnstable County:                      4.12% </w:t>
      </w:r>
      <w:r>
        <w:rPr>
          <w:rFonts w:ascii="Calibri" w:hAnsi="Calibri" w:cs="Calibri"/>
          <w:color w:val="000000"/>
          <w:bdr w:val="none" w:sz="0" w:space="0" w:color="auto" w:frame="1"/>
        </w:rPr>
        <w:t>(vs. 3.22%)</w:t>
      </w:r>
      <w:r>
        <w:rPr>
          <w:rFonts w:ascii="Calibri" w:hAnsi="Calibri" w:cs="Calibri"/>
          <w:color w:val="000000"/>
          <w:sz w:val="22"/>
          <w:szCs w:val="22"/>
          <w:bdr w:val="none" w:sz="0" w:space="0" w:color="auto" w:frame="1"/>
        </w:rPr>
        <w:t>  </w:t>
      </w:r>
      <w:r>
        <w:rPr>
          <w:rFonts w:ascii="Calibri" w:hAnsi="Calibri" w:cs="Calibri"/>
          <w:color w:val="000000"/>
          <w:bdr w:val="none" w:sz="0" w:space="0" w:color="auto" w:frame="1"/>
        </w:rPr>
        <w:t>(</w:t>
      </w:r>
      <w:proofErr w:type="gramStart"/>
      <w:r>
        <w:rPr>
          <w:rFonts w:ascii="Calibri" w:hAnsi="Calibri" w:cs="Calibri"/>
          <w:color w:val="C82613"/>
          <w:bdr w:val="none" w:sz="0" w:space="0" w:color="auto" w:frame="1"/>
        </w:rPr>
        <w:t>higher</w:t>
      </w:r>
      <w:proofErr w:type="gramEnd"/>
      <w:r>
        <w:rPr>
          <w:rFonts w:ascii="Calibri" w:hAnsi="Calibri" w:cs="Calibri"/>
          <w:color w:val="C82613"/>
          <w:bdr w:val="none" w:sz="0" w:space="0" w:color="auto" w:frame="1"/>
        </w:rPr>
        <w:t> </w:t>
      </w:r>
      <w:r>
        <w:rPr>
          <w:rFonts w:ascii="Calibri" w:hAnsi="Calibri" w:cs="Calibri"/>
          <w:color w:val="000000"/>
          <w:bdr w:val="none" w:sz="0" w:space="0" w:color="auto" w:frame="1"/>
        </w:rPr>
        <w:t>vs. previous fortnight)</w:t>
      </w:r>
      <w:r>
        <w:rPr>
          <w:rFonts w:ascii="Calibri" w:hAnsi="Calibri" w:cs="Calibri"/>
          <w:color w:val="000000"/>
        </w:rPr>
        <w:t> </w:t>
      </w: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Dukes &amp; Nantucket Counties:   2.32% </w:t>
      </w:r>
      <w:r>
        <w:rPr>
          <w:rFonts w:ascii="Calibri" w:hAnsi="Calibri" w:cs="Calibri"/>
          <w:color w:val="000000"/>
          <w:bdr w:val="none" w:sz="0" w:space="0" w:color="auto" w:frame="1"/>
          <w:shd w:val="clear" w:color="auto" w:fill="FFFFFF"/>
        </w:rPr>
        <w:t>(vs. 1.53%)  (</w:t>
      </w:r>
      <w:proofErr w:type="gramStart"/>
      <w:r>
        <w:rPr>
          <w:rFonts w:ascii="Calibri" w:hAnsi="Calibri" w:cs="Calibri"/>
          <w:color w:val="C82613"/>
          <w:bdr w:val="none" w:sz="0" w:space="0" w:color="auto" w:frame="1"/>
          <w:shd w:val="clear" w:color="auto" w:fill="FFFFFF"/>
        </w:rPr>
        <w:t>higher</w:t>
      </w:r>
      <w:proofErr w:type="gramEnd"/>
      <w:r>
        <w:rPr>
          <w:rFonts w:ascii="Calibri" w:hAnsi="Calibri" w:cs="Calibri"/>
          <w:color w:val="000000"/>
          <w:bdr w:val="none" w:sz="0" w:space="0" w:color="auto" w:frame="1"/>
          <w:shd w:val="clear" w:color="auto" w:fill="FFFFFF"/>
        </w:rPr>
        <w:t>)</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1"/>
          <w:szCs w:val="21"/>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t>2.  Hospitalizations and Fatalities</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Hospitalizations </w:t>
      </w:r>
      <w:r>
        <w:rPr>
          <w:rFonts w:ascii="Calibri" w:hAnsi="Calibri" w:cs="Calibri"/>
          <w:color w:val="000000"/>
          <w:bdr w:val="none" w:sz="0" w:space="0" w:color="auto" w:frame="1"/>
        </w:rPr>
        <w:t>and </w:t>
      </w:r>
      <w:r>
        <w:rPr>
          <w:rFonts w:ascii="Calibri" w:hAnsi="Calibri" w:cs="Calibri"/>
          <w:b/>
          <w:bCs/>
          <w:color w:val="000000"/>
          <w:bdr w:val="none" w:sz="0" w:space="0" w:color="auto" w:frame="1"/>
        </w:rPr>
        <w:t>acuity of illness</w:t>
      </w:r>
      <w:r>
        <w:rPr>
          <w:rFonts w:ascii="Calibri" w:hAnsi="Calibri" w:cs="Calibri"/>
          <w:color w:val="000000"/>
          <w:bdr w:val="none" w:sz="0" w:space="0" w:color="auto" w:frame="1"/>
        </w:rPr>
        <w:t> have </w:t>
      </w:r>
      <w:r>
        <w:rPr>
          <w:rFonts w:ascii="Calibri" w:hAnsi="Calibri" w:cs="Calibri"/>
          <w:b/>
          <w:bCs/>
          <w:color w:val="000000"/>
          <w:bdr w:val="none" w:sz="0" w:space="0" w:color="auto" w:frame="1"/>
        </w:rPr>
        <w:t>decreased very significantly</w:t>
      </w:r>
      <w:r>
        <w:rPr>
          <w:rFonts w:ascii="Calibri" w:hAnsi="Calibri" w:cs="Calibri"/>
          <w:color w:val="000000"/>
          <w:bdr w:val="none" w:sz="0" w:space="0" w:color="auto" w:frame="1"/>
        </w:rPr>
        <w:t> since the double peaks of the Wave 2 surge seen in min-January and early February (corresponding Thanksgiving and Christmas holidays).  Cape Cod Hospital and Falmouth Hospital have </w:t>
      </w:r>
      <w:r>
        <w:rPr>
          <w:rFonts w:ascii="Calibri" w:hAnsi="Calibri" w:cs="Calibri"/>
          <w:b/>
          <w:bCs/>
          <w:color w:val="000000"/>
          <w:bdr w:val="none" w:sz="0" w:space="0" w:color="auto" w:frame="1"/>
        </w:rPr>
        <w:t>resumed limited visitation</w:t>
      </w:r>
      <w:r>
        <w:rPr>
          <w:rFonts w:ascii="Calibri" w:hAnsi="Calibri" w:cs="Calibri"/>
          <w:color w:val="000000"/>
          <w:bdr w:val="none" w:sz="0" w:space="0" w:color="auto" w:frame="1"/>
        </w:rPr>
        <w:t> of inpatients.  </w:t>
      </w:r>
    </w:p>
    <w:p w:rsidR="007D5D38" w:rsidRDefault="007D5D38" w:rsidP="007D5D38">
      <w:pPr>
        <w:pStyle w:val="xxxmsonormal"/>
        <w:shd w:val="clear" w:color="auto" w:fill="FFFFFF"/>
        <w:rPr>
          <w:rFonts w:ascii="Calibri" w:hAnsi="Calibri" w:cs="Calibri"/>
          <w:color w:val="000000"/>
          <w:sz w:val="22"/>
          <w:szCs w:val="22"/>
        </w:rPr>
      </w:pP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noProof/>
          <w:color w:val="000000"/>
          <w:sz w:val="22"/>
          <w:szCs w:val="22"/>
        </w:rPr>
        <w:drawing>
          <wp:inline distT="0" distB="0" distL="0" distR="0" wp14:anchorId="68D7AD6B" wp14:editId="3524DA95">
            <wp:extent cx="6115050" cy="1250289"/>
            <wp:effectExtent l="0" t="0" r="0" b="7620"/>
            <wp:docPr id="14" name="Picture 14" descr="cid:e89a391b-9999-4872-8926-75354e079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e89a391b-9999-4872-8926-75354e07987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191292" cy="1265878"/>
                    </a:xfrm>
                    <a:prstGeom prst="rect">
                      <a:avLst/>
                    </a:prstGeom>
                    <a:noFill/>
                    <a:ln>
                      <a:noFill/>
                    </a:ln>
                  </pic:spPr>
                </pic:pic>
              </a:graphicData>
            </a:graphic>
          </wp:inline>
        </w:drawing>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xml:space="preserve">Since DPH reporting of hospitalizations has a 2-day lag Tina Shaw of CCHC is providing me with more recent information (thank you Tina).  Yesterday afternoon CCHC reported that there were </w:t>
      </w:r>
      <w:r>
        <w:rPr>
          <w:rFonts w:ascii="Calibri" w:hAnsi="Calibri" w:cs="Calibri"/>
          <w:b/>
          <w:bCs/>
          <w:color w:val="000000"/>
          <w:bdr w:val="none" w:sz="0" w:space="0" w:color="auto" w:frame="1"/>
        </w:rPr>
        <w:t>18</w:t>
      </w:r>
      <w:r>
        <w:rPr>
          <w:rFonts w:ascii="Calibri" w:hAnsi="Calibri" w:cs="Calibri"/>
          <w:color w:val="000000"/>
          <w:bdr w:val="none" w:sz="0" w:space="0" w:color="auto" w:frame="1"/>
        </w:rPr>
        <w:t> COVID </w:t>
      </w:r>
      <w:r>
        <w:rPr>
          <w:rFonts w:ascii="Calibri" w:hAnsi="Calibri" w:cs="Calibri"/>
          <w:b/>
          <w:bCs/>
          <w:color w:val="000000"/>
          <w:bdr w:val="none" w:sz="0" w:space="0" w:color="auto" w:frame="1"/>
        </w:rPr>
        <w:t>patients in hospital</w:t>
      </w:r>
      <w:r>
        <w:rPr>
          <w:rFonts w:ascii="Calibri" w:hAnsi="Calibri" w:cs="Calibri"/>
          <w:color w:val="000000"/>
          <w:bdr w:val="none" w:sz="0" w:space="0" w:color="auto" w:frame="1"/>
        </w:rPr>
        <w:t xml:space="preserve">, </w:t>
      </w:r>
      <w:r>
        <w:rPr>
          <w:rFonts w:ascii="Calibri" w:hAnsi="Calibri" w:cs="Calibri"/>
          <w:b/>
          <w:bCs/>
          <w:color w:val="000000"/>
          <w:bdr w:val="none" w:sz="0" w:space="0" w:color="auto" w:frame="1"/>
        </w:rPr>
        <w:t>4</w:t>
      </w:r>
      <w:r>
        <w:rPr>
          <w:rFonts w:ascii="Calibri" w:hAnsi="Calibri" w:cs="Calibri"/>
          <w:color w:val="000000"/>
          <w:bdr w:val="none" w:sz="0" w:space="0" w:color="auto" w:frame="1"/>
        </w:rPr>
        <w:t> of which were in the CCH </w:t>
      </w:r>
      <w:r>
        <w:rPr>
          <w:rFonts w:ascii="Calibri" w:hAnsi="Calibri" w:cs="Calibri"/>
          <w:b/>
          <w:bCs/>
          <w:color w:val="000000"/>
          <w:bdr w:val="none" w:sz="0" w:space="0" w:color="auto" w:frame="1"/>
        </w:rPr>
        <w:t>ICU.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Fatalities:  3</w:t>
      </w:r>
      <w:r>
        <w:rPr>
          <w:rFonts w:ascii="Calibri" w:hAnsi="Calibri" w:cs="Calibri"/>
          <w:color w:val="000000"/>
          <w:bdr w:val="none" w:sz="0" w:space="0" w:color="auto" w:frame="1"/>
        </w:rPr>
        <w:t> fatalities were reported yesterday.  The total is </w:t>
      </w:r>
      <w:r>
        <w:rPr>
          <w:rFonts w:ascii="Calibri" w:hAnsi="Calibri" w:cs="Calibri"/>
          <w:b/>
          <w:bCs/>
          <w:color w:val="000000"/>
          <w:bdr w:val="none" w:sz="0" w:space="0" w:color="auto" w:frame="1"/>
        </w:rPr>
        <w:t>427.</w:t>
      </w:r>
      <w:r>
        <w:rPr>
          <w:rFonts w:ascii="Calibri" w:hAnsi="Calibri" w:cs="Calibri"/>
          <w:color w:val="000000"/>
          <w:sz w:val="22"/>
          <w:szCs w:val="22"/>
          <w:bdr w:val="none" w:sz="0" w:space="0" w:color="auto" w:frame="1"/>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lastRenderedPageBreak/>
        <w:br/>
      </w:r>
      <w:r>
        <w:rPr>
          <w:rFonts w:ascii="Calibri" w:hAnsi="Calibri" w:cs="Calibri"/>
          <w:color w:val="000000"/>
          <w:sz w:val="22"/>
          <w:szCs w:val="22"/>
        </w:rPr>
        <w:t> </w:t>
      </w:r>
      <w:r>
        <w:rPr>
          <w:rFonts w:ascii="Calibri" w:hAnsi="Calibri" w:cs="Calibri"/>
          <w:noProof/>
          <w:color w:val="000000"/>
          <w:sz w:val="22"/>
          <w:szCs w:val="22"/>
        </w:rPr>
        <w:drawing>
          <wp:inline distT="0" distB="0" distL="0" distR="0" wp14:anchorId="61E25181" wp14:editId="425DB7BA">
            <wp:extent cx="6086475" cy="3529242"/>
            <wp:effectExtent l="0" t="0" r="0" b="0"/>
            <wp:docPr id="13" name="Picture 13" descr="cid:f064ef2d-a049-4a7e-9b54-474328a17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f064ef2d-a049-4a7e-9b54-474328a178f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6091810" cy="3532335"/>
                    </a:xfrm>
                    <a:prstGeom prst="rect">
                      <a:avLst/>
                    </a:prstGeom>
                    <a:noFill/>
                    <a:ln>
                      <a:noFill/>
                    </a:ln>
                  </pic:spPr>
                </pic:pic>
              </a:graphicData>
            </a:graphic>
          </wp:inline>
        </w:drawing>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Recent data on COVID fatalities in Barnstable County suggest that residents of </w:t>
      </w:r>
      <w:r>
        <w:rPr>
          <w:rFonts w:ascii="Calibri" w:hAnsi="Calibri" w:cs="Calibri"/>
          <w:b/>
          <w:bCs/>
          <w:color w:val="000000"/>
          <w:bdr w:val="none" w:sz="0" w:space="0" w:color="auto" w:frame="1"/>
        </w:rPr>
        <w:t>Long Term Care/Skilled Nursing Facilities/Rest Homes </w:t>
      </w:r>
      <w:r>
        <w:rPr>
          <w:rFonts w:ascii="Calibri" w:hAnsi="Calibri" w:cs="Calibri"/>
          <w:color w:val="000000"/>
          <w:bdr w:val="none" w:sz="0" w:space="0" w:color="auto" w:frame="1"/>
        </w:rPr>
        <w:t>represent </w:t>
      </w:r>
      <w:r>
        <w:rPr>
          <w:rFonts w:ascii="Calibri" w:hAnsi="Calibri" w:cs="Calibri"/>
          <w:b/>
          <w:bCs/>
          <w:color w:val="000000"/>
          <w:bdr w:val="none" w:sz="0" w:space="0" w:color="auto" w:frame="1"/>
        </w:rPr>
        <w:t>42.5%</w:t>
      </w:r>
      <w:r>
        <w:rPr>
          <w:rFonts w:ascii="Calibri" w:hAnsi="Calibri" w:cs="Calibri"/>
          <w:color w:val="000000"/>
          <w:bdr w:val="none" w:sz="0" w:space="0" w:color="auto" w:frame="1"/>
        </w:rPr>
        <w:t> of all fatalities (167 of 393 fatalities, as of 2/25/21).  This is a </w:t>
      </w:r>
      <w:r>
        <w:rPr>
          <w:rFonts w:ascii="Calibri" w:hAnsi="Calibri" w:cs="Calibri"/>
          <w:b/>
          <w:bCs/>
          <w:color w:val="000000"/>
          <w:u w:val="single"/>
          <w:bdr w:val="none" w:sz="0" w:space="0" w:color="auto" w:frame="1"/>
        </w:rPr>
        <w:t>lower</w:t>
      </w:r>
      <w:r>
        <w:rPr>
          <w:rFonts w:ascii="Calibri" w:hAnsi="Calibri" w:cs="Calibri"/>
          <w:b/>
          <w:bCs/>
          <w:color w:val="000000"/>
          <w:bdr w:val="none" w:sz="0" w:space="0" w:color="auto" w:frame="1"/>
        </w:rPr>
        <w:t> </w:t>
      </w:r>
      <w:r>
        <w:rPr>
          <w:rFonts w:ascii="Calibri" w:hAnsi="Calibri" w:cs="Calibri"/>
          <w:color w:val="000000"/>
          <w:bdr w:val="none" w:sz="0" w:space="0" w:color="auto" w:frame="1"/>
        </w:rPr>
        <w:t>percentage than that seen during phase 1 of the pandemic last spring (over 65%), and </w:t>
      </w:r>
      <w:r>
        <w:rPr>
          <w:rFonts w:ascii="Calibri" w:hAnsi="Calibri" w:cs="Calibri"/>
          <w:b/>
          <w:bCs/>
          <w:color w:val="000000"/>
          <w:bdr w:val="none" w:sz="0" w:space="0" w:color="auto" w:frame="1"/>
        </w:rPr>
        <w:t>this percentage continues to fall.  Indeed, </w:t>
      </w:r>
      <w:r>
        <w:rPr>
          <w:rFonts w:ascii="Calibri" w:hAnsi="Calibri" w:cs="Calibri"/>
          <w:b/>
          <w:bCs/>
          <w:color w:val="000000"/>
          <w:bdr w:val="none" w:sz="0" w:space="0" w:color="auto" w:frame="1"/>
          <w:shd w:val="clear" w:color="auto" w:fill="FFFF80"/>
        </w:rPr>
        <w:t>between 1/5/21 and 2/23/21 only 20% of the County's 137 fatalities occurred among LTC residents.</w:t>
      </w:r>
      <w:r>
        <w:rPr>
          <w:rFonts w:ascii="Calibri" w:hAnsi="Calibri" w:cs="Calibri"/>
          <w:b/>
          <w:bCs/>
          <w:color w:val="000000"/>
          <w:bdr w:val="none" w:sz="0" w:space="0" w:color="auto" w:frame="1"/>
          <w:shd w:val="clear" w:color="auto" w:fill="FFFFFF"/>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This month marks the one-year </w:t>
      </w:r>
      <w:r>
        <w:rPr>
          <w:rFonts w:ascii="Calibri" w:hAnsi="Calibri" w:cs="Calibri"/>
          <w:b/>
          <w:bCs/>
          <w:color w:val="000000"/>
          <w:bdr w:val="none" w:sz="0" w:space="0" w:color="auto" w:frame="1"/>
          <w:shd w:val="clear" w:color="auto" w:fill="FFFFFF"/>
        </w:rPr>
        <w:t>anniversary </w:t>
      </w:r>
      <w:r>
        <w:rPr>
          <w:rFonts w:ascii="Calibri" w:hAnsi="Calibri" w:cs="Calibri"/>
          <w:color w:val="000000"/>
          <w:bdr w:val="none" w:sz="0" w:space="0" w:color="auto" w:frame="1"/>
          <w:shd w:val="clear" w:color="auto" w:fill="FFFFFF"/>
        </w:rPr>
        <w:t>of the recognition of the first COVID case in Massachusetts.​  In year 1 of this pandemic the </w:t>
      </w:r>
      <w:r>
        <w:rPr>
          <w:rFonts w:ascii="Calibri" w:hAnsi="Calibri" w:cs="Calibri"/>
          <w:b/>
          <w:bCs/>
          <w:color w:val="000000"/>
          <w:bdr w:val="none" w:sz="0" w:space="0" w:color="auto" w:frame="1"/>
          <w:shd w:val="clear" w:color="auto" w:fill="FFFF80"/>
        </w:rPr>
        <w:t>Barnstable County Case Fatality Rate (CFR) is 4%</w:t>
      </w:r>
      <w:r>
        <w:rPr>
          <w:rFonts w:ascii="Calibri" w:hAnsi="Calibri" w:cs="Calibri"/>
          <w:color w:val="000000"/>
          <w:bdr w:val="none" w:sz="0" w:space="0" w:color="auto" w:frame="1"/>
          <w:shd w:val="clear" w:color="auto" w:fill="FFFFFF"/>
        </w:rPr>
        <w:t>, behind only Berkshire and Franklin Counties (which are also remote, rural locales), and is markedly higher than </w:t>
      </w:r>
      <w:r>
        <w:rPr>
          <w:rFonts w:ascii="Calibri" w:hAnsi="Calibri" w:cs="Calibri"/>
          <w:color w:val="000000"/>
          <w:bdr w:val="none" w:sz="0" w:space="0" w:color="auto" w:frame="1"/>
          <w:shd w:val="clear" w:color="auto" w:fill="FFFF80"/>
        </w:rPr>
        <w:t>the </w:t>
      </w:r>
      <w:r>
        <w:rPr>
          <w:rFonts w:ascii="Calibri" w:hAnsi="Calibri" w:cs="Calibri"/>
          <w:b/>
          <w:bCs/>
          <w:color w:val="000000"/>
          <w:bdr w:val="none" w:sz="0" w:space="0" w:color="auto" w:frame="1"/>
          <w:shd w:val="clear" w:color="auto" w:fill="FFFF80"/>
        </w:rPr>
        <w:t>state CFR (2.8%)</w:t>
      </w:r>
      <w:r>
        <w:rPr>
          <w:rFonts w:ascii="Calibri" w:hAnsi="Calibri" w:cs="Calibri"/>
          <w:color w:val="000000"/>
          <w:bdr w:val="none" w:sz="0" w:space="0" w:color="auto" w:frame="1"/>
          <w:shd w:val="clear" w:color="auto" w:fill="FFFFFF"/>
        </w:rPr>
        <w:t>.</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201F1E"/>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201F1E"/>
          <w:bdr w:val="none" w:sz="0" w:space="0" w:color="auto" w:frame="1"/>
        </w:rPr>
        <w:t> </w:t>
      </w:r>
      <w:r>
        <w:rPr>
          <w:rFonts w:ascii="Calibri" w:hAnsi="Calibri" w:cs="Calibri"/>
          <w:b/>
          <w:bCs/>
          <w:color w:val="201F1E"/>
          <w:u w:val="single"/>
          <w:bdr w:val="none" w:sz="0" w:space="0" w:color="auto" w:frame="1"/>
        </w:rPr>
        <w:t>3.  Schools and Childcare Centers</w:t>
      </w:r>
      <w:r>
        <w:rPr>
          <w:rFonts w:ascii="Calibri" w:hAnsi="Calibri" w:cs="Calibri"/>
          <w:color w:val="201F1E"/>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School districts</w:t>
      </w:r>
      <w:r>
        <w:rPr>
          <w:rFonts w:ascii="Calibri" w:hAnsi="Calibri" w:cs="Calibri"/>
          <w:color w:val="000000"/>
          <w:bdr w:val="none" w:sz="0" w:space="0" w:color="auto" w:frame="1"/>
        </w:rPr>
        <w:t> are staying vigilant and reacting well to new cases. School districts on the Cape and Islands are in a hybrid learning status, </w:t>
      </w:r>
      <w:r>
        <w:rPr>
          <w:rFonts w:ascii="Calibri" w:hAnsi="Calibri" w:cs="Calibri"/>
          <w:b/>
          <w:bCs/>
          <w:color w:val="000000"/>
          <w:bdr w:val="none" w:sz="0" w:space="0" w:color="auto" w:frame="1"/>
          <w:shd w:val="clear" w:color="auto" w:fill="FFFFFF"/>
        </w:rPr>
        <w:t>however </w:t>
      </w:r>
      <w:r>
        <w:rPr>
          <w:rFonts w:ascii="Calibri" w:hAnsi="Calibri" w:cs="Calibri"/>
          <w:b/>
          <w:bCs/>
          <w:color w:val="000000"/>
          <w:bdr w:val="none" w:sz="0" w:space="0" w:color="auto" w:frame="1"/>
          <w:shd w:val="clear" w:color="auto" w:fill="FFFF80"/>
        </w:rPr>
        <w:t>DESE Commissioner Jeffrey Riley has announced plans which will compel schools to return to 100% in-person learning, starting with elementary schools, in April.  As such (and noted elsewhere), school and childcare teachers and staff became eligible for vaccinations last week (3/11).</w:t>
      </w:r>
      <w:r>
        <w:rPr>
          <w:rFonts w:ascii="Calibri" w:hAnsi="Calibri" w:cs="Calibri"/>
          <w:b/>
          <w:bCs/>
          <w:color w:val="000000"/>
          <w:bdr w:val="none" w:sz="0" w:space="0" w:color="auto" w:frame="1"/>
        </w:rPr>
        <w:br/>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xml:space="preserve">DESE and the DPH (memo of 1/8/21) announced that they are seeking to introduce COVID-19 screening testing using a pooled strategy in the school setting.  Schools may </w:t>
      </w:r>
      <w:r>
        <w:rPr>
          <w:rFonts w:ascii="Calibri" w:hAnsi="Calibri" w:cs="Calibri"/>
          <w:color w:val="000000"/>
          <w:bdr w:val="none" w:sz="0" w:space="0" w:color="auto" w:frame="1"/>
        </w:rPr>
        <w:lastRenderedPageBreak/>
        <w:t>elect to participate by responding to a survey that DESE/DPH have posted.  The status of this initiative is unclear at this time.</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strike/>
          <w:color w:val="000000"/>
          <w:bdr w:val="none" w:sz="0" w:space="0" w:color="auto" w:frame="1"/>
          <w:shd w:val="clear" w:color="auto" w:fill="FFFFFF"/>
        </w:rPr>
        <w:t>For the 2020-2021 school year the DPH has mandated that all school children be vaccinated for seasonal influenza.  This week the DPH extended the deadline for doing so from 12/31/20 to 2/28/21.</w:t>
      </w:r>
      <w:r>
        <w:rPr>
          <w:rFonts w:ascii="Calibri" w:hAnsi="Calibri" w:cs="Calibri"/>
          <w:color w:val="000000"/>
          <w:bdr w:val="none" w:sz="0" w:space="0" w:color="auto" w:frame="1"/>
        </w:rPr>
        <w:t> </w:t>
      </w:r>
      <w:r>
        <w:rPr>
          <w:rFonts w:ascii="Calibri" w:hAnsi="Calibri" w:cs="Calibri"/>
          <w:color w:val="000000"/>
          <w:bdr w:val="none" w:sz="0" w:space="0" w:color="auto" w:frame="1"/>
          <w:shd w:val="clear" w:color="auto" w:fill="FFFF80"/>
        </w:rPr>
        <w:t>This mandate has been canceled by the DPH.</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br/>
      </w:r>
      <w:r>
        <w:rPr>
          <w:rFonts w:ascii="Calibri" w:hAnsi="Calibri" w:cs="Calibri"/>
          <w:color w:val="000000"/>
          <w:sz w:val="22"/>
          <w:szCs w:val="22"/>
          <w:bdr w:val="none" w:sz="0" w:space="0" w:color="auto" w:frame="1"/>
        </w:rPr>
        <w:t> </w:t>
      </w:r>
      <w:r>
        <w:rPr>
          <w:rFonts w:ascii="Calibri" w:hAnsi="Calibri" w:cs="Calibri"/>
          <w:color w:val="000000"/>
          <w:sz w:val="22"/>
          <w:szCs w:val="22"/>
        </w:rPr>
        <w:t> </w:t>
      </w:r>
      <w:r>
        <w:rPr>
          <w:rFonts w:ascii="Calibri" w:hAnsi="Calibri" w:cs="Calibri"/>
          <w:b/>
          <w:bCs/>
          <w:color w:val="000000"/>
          <w:u w:val="single"/>
          <w:bdr w:val="none" w:sz="0" w:space="0" w:color="auto" w:frame="1"/>
        </w:rPr>
        <w:t>4.  Testing</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Additional testing locations in Barnstable County</w:t>
      </w:r>
      <w:r>
        <w:rPr>
          <w:rFonts w:ascii="Calibri" w:hAnsi="Calibri" w:cs="Calibri"/>
          <w:b/>
          <w:bCs/>
          <w:color w:val="000000"/>
          <w:bdr w:val="none" w:sz="0" w:space="0" w:color="auto" w:frame="1"/>
        </w:rPr>
        <w:t> </w:t>
      </w:r>
      <w:r>
        <w:rPr>
          <w:rFonts w:ascii="Calibri" w:hAnsi="Calibri" w:cs="Calibri"/>
          <w:color w:val="000000"/>
          <w:bdr w:val="none" w:sz="0" w:space="0" w:color="auto" w:frame="1"/>
        </w:rPr>
        <w:t>for both symptomatic and asymptomatic persons remain open in </w:t>
      </w:r>
      <w:r>
        <w:rPr>
          <w:rFonts w:ascii="Calibri" w:hAnsi="Calibri" w:cs="Calibri"/>
          <w:b/>
          <w:bCs/>
          <w:color w:val="000000"/>
          <w:bdr w:val="none" w:sz="0" w:space="0" w:color="auto" w:frame="1"/>
        </w:rPr>
        <w:t>Falmouth </w:t>
      </w:r>
      <w:r>
        <w:rPr>
          <w:rFonts w:ascii="Calibri" w:hAnsi="Calibri" w:cs="Calibri"/>
          <w:color w:val="000000"/>
          <w:bdr w:val="none" w:sz="0" w:space="0" w:color="auto" w:frame="1"/>
        </w:rPr>
        <w:t>at the Fairgrounds and in </w:t>
      </w:r>
      <w:r>
        <w:rPr>
          <w:rFonts w:ascii="Calibri" w:hAnsi="Calibri" w:cs="Calibri"/>
          <w:b/>
          <w:bCs/>
          <w:color w:val="000000"/>
          <w:bdr w:val="none" w:sz="0" w:space="0" w:color="auto" w:frame="1"/>
        </w:rPr>
        <w:t>Hyannis </w:t>
      </w:r>
      <w:r>
        <w:rPr>
          <w:rFonts w:ascii="Calibri" w:hAnsi="Calibri" w:cs="Calibri"/>
          <w:color w:val="000000"/>
          <w:bdr w:val="none" w:sz="0" w:space="0" w:color="auto" w:frame="1"/>
        </w:rPr>
        <w:t xml:space="preserve">at Cape Cod Hospital (the Melody Tent site has been given over to vaccination clinics).  Daily testing capacity is 50 at the Falmouth site and 350 at the Hyannis site.  </w:t>
      </w:r>
      <w:proofErr w:type="gramStart"/>
      <w:r>
        <w:rPr>
          <w:rFonts w:ascii="Calibri" w:hAnsi="Calibri" w:cs="Calibri"/>
          <w:color w:val="000000"/>
          <w:bdr w:val="none" w:sz="0" w:space="0" w:color="auto" w:frame="1"/>
        </w:rPr>
        <w:t>Neither site is open daily and</w:t>
      </w:r>
      <w:proofErr w:type="gramEnd"/>
      <w:r>
        <w:rPr>
          <w:rFonts w:ascii="Calibri" w:hAnsi="Calibri" w:cs="Calibri"/>
          <w:color w:val="000000"/>
          <w:bdr w:val="none" w:sz="0" w:space="0" w:color="auto" w:frame="1"/>
        </w:rPr>
        <w:t xml:space="preserve"> persons must call ahead for an appointment.  Details: </w:t>
      </w:r>
      <w:hyperlink r:id="rId42" w:tgtFrame="_blank" w:history="1">
        <w:r>
          <w:rPr>
            <w:rStyle w:val="Hyperlink"/>
            <w:rFonts w:ascii="Calibri" w:hAnsi="Calibri" w:cs="Calibri"/>
            <w:bdr w:val="none" w:sz="0" w:space="0" w:color="auto" w:frame="1"/>
          </w:rPr>
          <w:t>https://www.capecodhealth.org/medical-services/infectious-disease/coronavirus/covid-19-testing-process/</w:t>
        </w:r>
      </w:hyperlink>
      <w:r>
        <w:rPr>
          <w:rFonts w:ascii="Calibri" w:hAnsi="Calibri" w:cs="Calibri"/>
          <w:color w:val="000000"/>
          <w:bdr w:val="none" w:sz="0" w:space="0" w:color="auto" w:frame="1"/>
        </w:rPr>
        <w:t>. </w:t>
      </w:r>
      <w:r>
        <w:rPr>
          <w:rFonts w:ascii="Calibri" w:hAnsi="Calibri" w:cs="Calibri"/>
          <w:b/>
          <w:bCs/>
          <w:color w:val="000000"/>
          <w:bdr w:val="none" w:sz="0" w:space="0" w:color="auto" w:frame="1"/>
        </w:rPr>
        <w:br/>
      </w:r>
      <w:r>
        <w:rPr>
          <w:rFonts w:ascii="Calibri" w:hAnsi="Calibri" w:cs="Calibri"/>
          <w:b/>
          <w:bCs/>
          <w:color w:val="000000"/>
          <w:bdr w:val="none" w:sz="0" w:space="0" w:color="auto" w:frame="1"/>
        </w:rPr>
        <w:br/>
      </w:r>
      <w:r>
        <w:rPr>
          <w:rFonts w:ascii="Calibri" w:hAnsi="Calibri" w:cs="Calibri"/>
          <w:color w:val="000000"/>
          <w:bdr w:val="none" w:sz="0" w:space="0" w:color="auto" w:frame="1"/>
        </w:rPr>
        <w:t>In late December additional testing by </w:t>
      </w:r>
      <w:r>
        <w:rPr>
          <w:rFonts w:ascii="Calibri" w:hAnsi="Calibri" w:cs="Calibri"/>
          <w:b/>
          <w:bCs/>
          <w:color w:val="C82613"/>
          <w:bdr w:val="none" w:sz="0" w:space="0" w:color="auto" w:frame="1"/>
        </w:rPr>
        <w:t>Outer Cape Community Health Services</w:t>
      </w:r>
      <w:r>
        <w:rPr>
          <w:rFonts w:ascii="Calibri" w:hAnsi="Calibri" w:cs="Calibri"/>
          <w:b/>
          <w:bCs/>
          <w:color w:val="000000"/>
          <w:bdr w:val="none" w:sz="0" w:space="0" w:color="auto" w:frame="1"/>
        </w:rPr>
        <w:t> </w:t>
      </w:r>
      <w:r>
        <w:rPr>
          <w:rFonts w:ascii="Calibri" w:hAnsi="Calibri" w:cs="Calibri"/>
          <w:color w:val="000000"/>
          <w:bdr w:val="none" w:sz="0" w:space="0" w:color="auto" w:frame="1"/>
        </w:rPr>
        <w:t>began and continues at its 3 locations in Wellfleet, Harwich Port, and Provincetown</w:t>
      </w:r>
      <w:r>
        <w:rPr>
          <w:rFonts w:ascii="Calibri" w:hAnsi="Calibri" w:cs="Calibri"/>
          <w:b/>
          <w:bCs/>
          <w:color w:val="000000"/>
          <w:bdr w:val="none" w:sz="0" w:space="0" w:color="auto" w:frame="1"/>
        </w:rPr>
        <w:t> </w:t>
      </w:r>
      <w:r>
        <w:rPr>
          <w:rFonts w:ascii="Calibri" w:hAnsi="Calibri" w:cs="Calibri"/>
          <w:color w:val="000000"/>
          <w:bdr w:val="none" w:sz="0" w:space="0" w:color="auto" w:frame="1"/>
        </w:rPr>
        <w:t>(</w:t>
      </w:r>
      <w:hyperlink r:id="rId43" w:tgtFrame="_blank" w:history="1">
        <w:r>
          <w:rPr>
            <w:rStyle w:val="Hyperlink"/>
            <w:rFonts w:ascii="Calibri" w:hAnsi="Calibri" w:cs="Calibri"/>
            <w:bdr w:val="none" w:sz="0" w:space="0" w:color="auto" w:frame="1"/>
          </w:rPr>
          <w:t>https://outercape.org/2020/12/23/outer-cape-health-services-to-offer-covid-19-asymptomatic-testing-beginning-december-23/</w:t>
        </w:r>
      </w:hyperlink>
      <w:r>
        <w:rPr>
          <w:rFonts w:ascii="Calibri" w:hAnsi="Calibri" w:cs="Calibri"/>
          <w:color w:val="000000"/>
          <w:bdr w:val="none" w:sz="0" w:space="0" w:color="auto" w:frame="1"/>
        </w:rPr>
        <w:t>).  The </w:t>
      </w:r>
      <w:r>
        <w:rPr>
          <w:rFonts w:ascii="Calibri" w:hAnsi="Calibri" w:cs="Calibri"/>
          <w:b/>
          <w:bCs/>
          <w:color w:val="C82613"/>
          <w:bdr w:val="none" w:sz="0" w:space="0" w:color="auto" w:frame="1"/>
        </w:rPr>
        <w:t>Community Health Center of Cape Cod</w:t>
      </w:r>
      <w:r>
        <w:rPr>
          <w:rFonts w:ascii="Calibri" w:hAnsi="Calibri" w:cs="Calibri"/>
          <w:color w:val="000000"/>
          <w:bdr w:val="none" w:sz="0" w:space="0" w:color="auto" w:frame="1"/>
        </w:rPr>
        <w:t> is also offering testing at its locations.  These sites may not open be daily and persons must call ahead for an appointment.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Eligibility criteria for the testing include residency in Barnstable County.  Testing is done by appointment only.  Tests cost $75, $110 for travel-related tests, and no one will be turned away if unable to pay for a test. </w:t>
      </w:r>
      <w:r>
        <w:rPr>
          <w:rFonts w:ascii="Calibri" w:hAnsi="Calibri" w:cs="Calibri"/>
          <w:color w:val="000000"/>
          <w:bdr w:val="none" w:sz="0" w:space="0" w:color="auto" w:frame="1"/>
        </w:rPr>
        <w:br/>
      </w:r>
      <w:r>
        <w:rPr>
          <w:rFonts w:ascii="Calibri" w:hAnsi="Calibri" w:cs="Calibri"/>
          <w:color w:val="000000"/>
          <w:bdr w:val="none" w:sz="0" w:space="0" w:color="auto" w:frame="1"/>
        </w:rPr>
        <w:br/>
        <w:t>DPH-mandated </w:t>
      </w:r>
      <w:r>
        <w:rPr>
          <w:rFonts w:ascii="Calibri" w:hAnsi="Calibri" w:cs="Calibri"/>
          <w:b/>
          <w:bCs/>
          <w:color w:val="000000"/>
        </w:rPr>
        <w:t>routine testing</w:t>
      </w:r>
      <w:r>
        <w:rPr>
          <w:rFonts w:ascii="Calibri" w:hAnsi="Calibri" w:cs="Calibri"/>
          <w:color w:val="000000"/>
          <w:bdr w:val="none" w:sz="0" w:space="0" w:color="auto" w:frame="1"/>
        </w:rPr>
        <w:t> in skilled nursing facilities/long term care settings (SNF/LTC) continues.  This provides critical surveillance and allows these facilities to stay ahead of asymptomatic spread amongst staff and residents. Routine testing in SNF/LTC settings is conducted weekly for staff.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t>In addition, the State's </w:t>
      </w:r>
      <w:r>
        <w:rPr>
          <w:rFonts w:ascii="Calibri" w:hAnsi="Calibri" w:cs="Calibri"/>
          <w:b/>
          <w:bCs/>
          <w:color w:val="000000"/>
          <w:bdr w:val="none" w:sz="0" w:space="0" w:color="auto" w:frame="1"/>
        </w:rPr>
        <w:t>BinaxNOW rapid testing program</w:t>
      </w:r>
      <w:r>
        <w:rPr>
          <w:rFonts w:ascii="Calibri" w:hAnsi="Calibri" w:cs="Calibri"/>
          <w:color w:val="000000"/>
          <w:bdr w:val="none" w:sz="0" w:space="0" w:color="auto" w:frame="1"/>
        </w:rPr>
        <w:t> (available to </w:t>
      </w:r>
      <w:r>
        <w:rPr>
          <w:rFonts w:ascii="Calibri" w:hAnsi="Calibri" w:cs="Calibri"/>
          <w:b/>
          <w:bCs/>
          <w:color w:val="000000"/>
          <w:bdr w:val="none" w:sz="0" w:space="0" w:color="auto" w:frame="1"/>
        </w:rPr>
        <w:t>schools</w:t>
      </w:r>
      <w:r>
        <w:rPr>
          <w:rFonts w:ascii="Calibri" w:hAnsi="Calibri" w:cs="Calibri"/>
          <w:color w:val="000000"/>
          <w:bdr w:val="none" w:sz="0" w:space="0" w:color="auto" w:frame="1"/>
        </w:rPr>
        <w:t>) has been extended to visitors of </w:t>
      </w:r>
      <w:r>
        <w:rPr>
          <w:rFonts w:ascii="Calibri" w:hAnsi="Calibri" w:cs="Calibri"/>
          <w:b/>
          <w:bCs/>
          <w:color w:val="000000"/>
          <w:bdr w:val="none" w:sz="0" w:space="0" w:color="auto" w:frame="1"/>
        </w:rPr>
        <w:t>nursing homes </w:t>
      </w:r>
      <w:r>
        <w:rPr>
          <w:rFonts w:ascii="Calibri" w:hAnsi="Calibri" w:cs="Calibri"/>
          <w:color w:val="000000"/>
          <w:bdr w:val="none" w:sz="0" w:space="0" w:color="auto" w:frame="1"/>
        </w:rPr>
        <w:t>and rest home residents (LTC settings) to allow visitation of residents while limiting the risk of infection from visitors.  DPH has published guidance on this.  The program has also been extended to </w:t>
      </w:r>
      <w:r>
        <w:rPr>
          <w:rFonts w:ascii="Calibri" w:hAnsi="Calibri" w:cs="Calibri"/>
          <w:b/>
          <w:bCs/>
          <w:strike/>
          <w:color w:val="000000"/>
          <w:bdr w:val="none" w:sz="0" w:space="0" w:color="auto" w:frame="1"/>
        </w:rPr>
        <w:t>childcare centers</w:t>
      </w:r>
      <w:proofErr w:type="gramStart"/>
      <w:r>
        <w:rPr>
          <w:rFonts w:ascii="Calibri" w:hAnsi="Calibri" w:cs="Calibri"/>
          <w:b/>
          <w:bCs/>
          <w:strike/>
          <w:color w:val="000000"/>
          <w:bdr w:val="none" w:sz="0" w:space="0" w:color="auto" w:frame="1"/>
        </w:rPr>
        <w:t> </w:t>
      </w:r>
      <w:r>
        <w:rPr>
          <w:rFonts w:ascii="Calibri" w:hAnsi="Calibri" w:cs="Calibri"/>
          <w:b/>
          <w:bCs/>
          <w:color w:val="000000"/>
          <w:bdr w:val="none" w:sz="0" w:space="0" w:color="auto" w:frame="1"/>
        </w:rPr>
        <w:t> </w:t>
      </w:r>
      <w:r>
        <w:rPr>
          <w:rFonts w:ascii="Calibri" w:hAnsi="Calibri" w:cs="Calibri"/>
          <w:color w:val="C82613"/>
          <w:bdr w:val="none" w:sz="0" w:space="0" w:color="auto" w:frame="1"/>
        </w:rPr>
        <w:t>(</w:t>
      </w:r>
      <w:proofErr w:type="gramEnd"/>
      <w:r>
        <w:rPr>
          <w:rFonts w:ascii="Calibri" w:hAnsi="Calibri" w:cs="Calibri"/>
          <w:color w:val="C82613"/>
          <w:bdr w:val="none" w:sz="0" w:space="0" w:color="auto" w:frame="1"/>
        </w:rPr>
        <w:t>?  Checking...)</w:t>
      </w:r>
      <w:r>
        <w:rPr>
          <w:rFonts w:ascii="Calibri" w:hAnsi="Calibri" w:cs="Calibri"/>
          <w:b/>
          <w:bCs/>
          <w:color w:val="000000"/>
          <w:bdr w:val="none" w:sz="0" w:space="0" w:color="auto" w:frame="1"/>
        </w:rPr>
        <w:t> and homeless shelters </w:t>
      </w:r>
      <w:r>
        <w:rPr>
          <w:rFonts w:ascii="Calibri" w:hAnsi="Calibri" w:cs="Calibri"/>
          <w:color w:val="000000"/>
          <w:bdr w:val="none" w:sz="0" w:space="0" w:color="auto" w:frame="1"/>
        </w:rPr>
        <w:t>and management of these facilities may apply to the EEC and DPH for testing kits.</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362585" w:rsidRDefault="00362585" w:rsidP="007D5D38">
      <w:pPr>
        <w:pStyle w:val="xxxmsonormal"/>
        <w:shd w:val="clear" w:color="auto" w:fill="FFFFFF"/>
        <w:rPr>
          <w:rFonts w:ascii="Calibri" w:hAnsi="Calibri" w:cs="Calibri"/>
          <w:color w:val="000000"/>
          <w:sz w:val="22"/>
          <w:szCs w:val="22"/>
        </w:rPr>
      </w:pPr>
    </w:p>
    <w:p w:rsidR="00362585" w:rsidRDefault="00362585" w:rsidP="007D5D38">
      <w:pPr>
        <w:pStyle w:val="xxxmsonormal"/>
        <w:shd w:val="clear" w:color="auto" w:fill="FFFFFF"/>
        <w:rPr>
          <w:rFonts w:ascii="Calibri" w:hAnsi="Calibri" w:cs="Calibri"/>
          <w:color w:val="000000"/>
          <w:sz w:val="22"/>
          <w:szCs w:val="22"/>
        </w:rPr>
      </w:pPr>
    </w:p>
    <w:p w:rsidR="00362585" w:rsidRDefault="00362585" w:rsidP="007D5D38">
      <w:pPr>
        <w:pStyle w:val="xxxmsonormal"/>
        <w:shd w:val="clear" w:color="auto" w:fill="FFFFFF"/>
        <w:rPr>
          <w:rFonts w:ascii="Calibri" w:hAnsi="Calibri" w:cs="Calibri"/>
          <w:color w:val="000000"/>
          <w:sz w:val="22"/>
          <w:szCs w:val="22"/>
        </w:rPr>
      </w:pPr>
    </w:p>
    <w:p w:rsidR="00362585" w:rsidRDefault="00362585" w:rsidP="007D5D38">
      <w:pPr>
        <w:pStyle w:val="xxxmsonormal"/>
        <w:shd w:val="clear" w:color="auto" w:fill="FFFFFF"/>
        <w:rPr>
          <w:rFonts w:ascii="Calibri" w:hAnsi="Calibri" w:cs="Calibri"/>
          <w:color w:val="000000"/>
          <w:sz w:val="22"/>
          <w:szCs w:val="22"/>
        </w:rPr>
      </w:pPr>
    </w:p>
    <w:p w:rsidR="00362585" w:rsidRDefault="00362585" w:rsidP="007D5D38">
      <w:pPr>
        <w:pStyle w:val="xxxmsonormal"/>
        <w:shd w:val="clear" w:color="auto" w:fill="FFFFFF"/>
        <w:rPr>
          <w:rFonts w:ascii="Calibri" w:hAnsi="Calibri" w:cs="Calibri"/>
          <w:color w:val="000000"/>
          <w:sz w:val="22"/>
          <w:szCs w:val="22"/>
        </w:rPr>
      </w:pP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lastRenderedPageBreak/>
        <w:t>5.  Weekly Town Risk and Statewide Cluster Analyses</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r>
        <w:rPr>
          <w:rFonts w:ascii="Calibri" w:hAnsi="Calibri" w:cs="Calibri"/>
          <w:b/>
          <w:bCs/>
          <w:color w:val="C82613"/>
          <w:sz w:val="22"/>
          <w:szCs w:val="22"/>
        </w:rPr>
        <w:t>(3/17/21 Update in process)</w:t>
      </w:r>
    </w:p>
    <w:p w:rsidR="007D5D38" w:rsidRDefault="007D5D38" w:rsidP="007D5D38">
      <w:pPr>
        <w:pStyle w:val="xxxmsonormal"/>
        <w:shd w:val="clear" w:color="auto" w:fill="FFFFFF"/>
        <w:rPr>
          <w:rFonts w:ascii="Calibri" w:hAnsi="Calibri" w:cs="Calibri"/>
          <w:color w:val="000000"/>
          <w:sz w:val="22"/>
          <w:szCs w:val="22"/>
        </w:rPr>
      </w:pP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noProof/>
          <w:color w:val="000000"/>
          <w:bdr w:val="none" w:sz="0" w:space="0" w:color="auto" w:frame="1"/>
        </w:rPr>
        <w:drawing>
          <wp:inline distT="0" distB="0" distL="0" distR="0" wp14:anchorId="205E29B2" wp14:editId="5772644F">
            <wp:extent cx="6353175" cy="5003309"/>
            <wp:effectExtent l="0" t="0" r="0" b="6985"/>
            <wp:docPr id="12" name="Picture 12" descr="cid:102077b0-12ae-48dd-9eae-6fe253653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102077b0-12ae-48dd-9eae-6fe253653a8f"/>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361918" cy="5010194"/>
                    </a:xfrm>
                    <a:prstGeom prst="rect">
                      <a:avLst/>
                    </a:prstGeom>
                    <a:noFill/>
                    <a:ln>
                      <a:noFill/>
                    </a:ln>
                  </pic:spPr>
                </pic:pic>
              </a:graphicData>
            </a:graphic>
          </wp:inline>
        </w:drawing>
      </w:r>
    </w:p>
    <w:p w:rsidR="007D5D38" w:rsidRDefault="007D5D38" w:rsidP="007D5D38">
      <w:pPr>
        <w:shd w:val="clear" w:color="auto" w:fill="FFFFFF"/>
        <w:rPr>
          <w:color w:val="000000"/>
        </w:rPr>
      </w:pPr>
      <w:r>
        <w:rPr>
          <w:color w:val="000000"/>
        </w:rPr>
        <w:t> </w:t>
      </w:r>
    </w:p>
    <w:p w:rsidR="007D5D38" w:rsidRDefault="007D5D38" w:rsidP="007D5D38">
      <w:pPr>
        <w:shd w:val="clear" w:color="auto" w:fill="FFFFFF"/>
        <w:rPr>
          <w:color w:val="000000"/>
        </w:rPr>
      </w:pPr>
      <w:r>
        <w:rPr>
          <w:noProof/>
          <w:color w:val="000000"/>
        </w:rPr>
        <w:drawing>
          <wp:inline distT="0" distB="0" distL="0" distR="0" wp14:anchorId="5A7F11F3" wp14:editId="57E07CA7">
            <wp:extent cx="6057900" cy="2436490"/>
            <wp:effectExtent l="0" t="0" r="0" b="2540"/>
            <wp:docPr id="11" name="Picture 11" descr="cid:0c32853c-ecbc-4586-9e58-d75691ae4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d:0c32853c-ecbc-4586-9e58-d75691ae48bf"/>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084123" cy="2447037"/>
                    </a:xfrm>
                    <a:prstGeom prst="rect">
                      <a:avLst/>
                    </a:prstGeom>
                    <a:noFill/>
                    <a:ln>
                      <a:noFill/>
                    </a:ln>
                  </pic:spPr>
                </pic:pic>
              </a:graphicData>
            </a:graphic>
          </wp:inline>
        </w:drawing>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362585" w:rsidRDefault="00362585" w:rsidP="007D5D38">
      <w:pPr>
        <w:pStyle w:val="xxxmsonormal"/>
        <w:shd w:val="clear" w:color="auto" w:fill="FFFFFF"/>
        <w:rPr>
          <w:rFonts w:ascii="Calibri" w:hAnsi="Calibri" w:cs="Calibri"/>
          <w:b/>
          <w:bCs/>
          <w:color w:val="000000"/>
          <w:u w:val="single"/>
          <w:bdr w:val="none" w:sz="0" w:space="0" w:color="auto" w:frame="1"/>
        </w:rPr>
      </w:pP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u w:val="single"/>
          <w:bdr w:val="none" w:sz="0" w:space="0" w:color="auto" w:frame="1"/>
        </w:rPr>
        <w:lastRenderedPageBreak/>
        <w:t>6.  Vaccination</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FFFFFF"/>
          <w:bdr w:val="none" w:sz="0" w:space="0" w:color="auto" w:frame="1"/>
          <w:shd w:val="clear" w:color="auto" w:fill="FFFFFF"/>
        </w:rPr>
        <w:t>​</w:t>
      </w:r>
      <w:r>
        <w:rPr>
          <w:rFonts w:ascii="Calibri" w:hAnsi="Calibri" w:cs="Calibri"/>
          <w:b/>
          <w:bCs/>
          <w:color w:val="000000"/>
          <w:bdr w:val="none" w:sz="0" w:space="0" w:color="auto" w:frame="1"/>
          <w:shd w:val="clear" w:color="auto" w:fill="FFFFFF"/>
        </w:rPr>
        <w:t>Groups eligible for vaccination now are those in Phase 1, Phase 2/Group 1 (persons</w:t>
      </w:r>
      <w:r>
        <w:rPr>
          <w:rFonts w:ascii="Calibri" w:hAnsi="Calibri" w:cs="Calibri"/>
          <w:color w:val="000000"/>
          <w:bdr w:val="none" w:sz="0" w:space="0" w:color="auto" w:frame="1"/>
          <w:shd w:val="clear" w:color="auto" w:fill="FFFFFF"/>
        </w:rPr>
        <w:t> </w:t>
      </w:r>
      <w:r>
        <w:rPr>
          <w:rFonts w:ascii="Calibri" w:hAnsi="Calibri" w:cs="Calibri"/>
          <w:b/>
          <w:bCs/>
          <w:color w:val="000000"/>
          <w:bdr w:val="none" w:sz="0" w:space="0" w:color="auto" w:frame="1"/>
          <w:shd w:val="clear" w:color="auto" w:fill="FFFFFF"/>
        </w:rPr>
        <w:t>aged 75+), and Phase 2/Group 2 (65+, 2+ comorbidities, and residents and staff of low-income senior housing) depending upon availability of vaccine.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C82613"/>
          <w:bdr w:val="none" w:sz="0" w:space="0" w:color="auto" w:frame="1"/>
          <w:shd w:val="clear" w:color="auto" w:fill="FFFF00"/>
        </w:rPr>
        <w:br/>
      </w:r>
      <w:r>
        <w:rPr>
          <w:rFonts w:ascii="Calibri" w:hAnsi="Calibri" w:cs="Calibri"/>
          <w:b/>
          <w:bCs/>
          <w:color w:val="000000"/>
          <w:bdr w:val="none" w:sz="0" w:space="0" w:color="auto" w:frame="1"/>
          <w:shd w:val="clear" w:color="auto" w:fill="FFFF00"/>
        </w:rPr>
        <w:t>Caregivers </w:t>
      </w:r>
      <w:r>
        <w:rPr>
          <w:rFonts w:ascii="Calibri" w:hAnsi="Calibri" w:cs="Calibri"/>
          <w:color w:val="000000"/>
          <w:bdr w:val="none" w:sz="0" w:space="0" w:color="auto" w:frame="1"/>
        </w:rPr>
        <w:t>(regardless of age) </w:t>
      </w:r>
      <w:r>
        <w:rPr>
          <w:rFonts w:ascii="Calibri" w:hAnsi="Calibri" w:cs="Calibri"/>
          <w:b/>
          <w:bCs/>
          <w:color w:val="000000"/>
          <w:bdr w:val="none" w:sz="0" w:space="0" w:color="auto" w:frame="1"/>
        </w:rPr>
        <w:t>accompanying a 75+ person to their vaccination appointment</w:t>
      </w:r>
      <w:r>
        <w:rPr>
          <w:rFonts w:ascii="Calibri" w:hAnsi="Calibri" w:cs="Calibri"/>
          <w:color w:val="000000"/>
          <w:bdr w:val="none" w:sz="0" w:space="0" w:color="auto" w:frame="1"/>
        </w:rPr>
        <w:t> remain eligible for vaccination and can receive vaccination under these circumstances at DPH mass vaccination sites.  Local vaccination clinics </w:t>
      </w:r>
      <w:r>
        <w:rPr>
          <w:rFonts w:ascii="Calibri" w:hAnsi="Calibri" w:cs="Calibri"/>
          <w:color w:val="000000"/>
          <w:u w:val="single"/>
          <w:bdr w:val="none" w:sz="0" w:space="0" w:color="auto" w:frame="1"/>
        </w:rPr>
        <w:t>may </w:t>
      </w:r>
      <w:r>
        <w:rPr>
          <w:rFonts w:ascii="Calibri" w:hAnsi="Calibri" w:cs="Calibri"/>
          <w:color w:val="000000"/>
          <w:bdr w:val="none" w:sz="0" w:space="0" w:color="auto" w:frame="1"/>
        </w:rPr>
        <w:t>also allow this, but most are not doing so because of constrained vaccine supplies.</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br/>
      </w:r>
      <w:r>
        <w:rPr>
          <w:rFonts w:ascii="Calibri" w:hAnsi="Calibri" w:cs="Calibri"/>
          <w:b/>
          <w:bCs/>
          <w:color w:val="000000"/>
          <w:sz w:val="22"/>
          <w:szCs w:val="22"/>
          <w:bdr w:val="none" w:sz="0" w:space="0" w:color="auto" w:frame="1"/>
          <w:shd w:val="clear" w:color="auto" w:fill="FFFFFF"/>
        </w:rPr>
        <w:t>​     </w:t>
      </w:r>
      <w:r>
        <w:rPr>
          <w:rFonts w:ascii="Calibri" w:hAnsi="Calibri" w:cs="Calibri"/>
          <w:color w:val="000000"/>
          <w:bdr w:val="none" w:sz="0" w:space="0" w:color="auto" w:frame="1"/>
          <w:shd w:val="clear" w:color="auto" w:fill="FFFFFF"/>
        </w:rPr>
        <w:t>​-Phase 2 of the State Vaccination Plan began on February 1.  </w:t>
      </w:r>
      <w:r>
        <w:rPr>
          <w:rFonts w:ascii="Calibri" w:hAnsi="Calibri" w:cs="Calibri"/>
          <w:b/>
          <w:bCs/>
          <w:color w:val="000000"/>
          <w:bdr w:val="none" w:sz="0" w:space="0" w:color="auto" w:frame="1"/>
          <w:shd w:val="clear" w:color="auto" w:fill="FFFF00"/>
        </w:rPr>
        <w:t>On March 11th K-12 teachers and staff and childcare teachers and staff became eligible for vaccination.</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T</w:t>
      </w:r>
      <w:r>
        <w:rPr>
          <w:rFonts w:ascii="Calibri" w:hAnsi="Calibri" w:cs="Calibri"/>
          <w:color w:val="0000FF"/>
          <w:bdr w:val="none" w:sz="0" w:space="0" w:color="auto" w:frame="1"/>
          <w:shd w:val="clear" w:color="auto" w:fill="FFFFFF"/>
        </w:rPr>
        <w:t>he DPH has released the timeline by which all remaining groups will become eligible for vaccination:</w:t>
      </w:r>
    </w:p>
    <w:p w:rsidR="007D5D38" w:rsidRDefault="007D5D38" w:rsidP="007D5D38">
      <w:pPr>
        <w:pStyle w:val="xxxxxmsonormal"/>
        <w:shd w:val="clear" w:color="auto" w:fill="FFFFFF"/>
        <w:rPr>
          <w:rFonts w:ascii="Calibri" w:hAnsi="Calibri" w:cs="Calibri"/>
          <w:color w:val="000000"/>
          <w:sz w:val="22"/>
          <w:szCs w:val="22"/>
        </w:rPr>
      </w:pPr>
    </w:p>
    <w:p w:rsidR="007D5D38" w:rsidRDefault="007D5D38" w:rsidP="007D5D38">
      <w:pPr>
        <w:shd w:val="clear" w:color="auto" w:fill="FFFFFF"/>
        <w:rPr>
          <w:color w:val="0000FF"/>
        </w:rPr>
      </w:pPr>
      <w:r>
        <w:rPr>
          <w:b/>
          <w:bCs/>
          <w:color w:val="0000FF"/>
          <w:u w:val="single"/>
        </w:rPr>
        <w:t>Timeline for remaining groups:</w:t>
      </w:r>
      <w:r>
        <w:rPr>
          <w:color w:val="0000FF"/>
        </w:rPr>
        <w:t xml:space="preserve"> </w:t>
      </w:r>
    </w:p>
    <w:p w:rsidR="007D5D38" w:rsidRDefault="007D5D38" w:rsidP="007D5D38">
      <w:pPr>
        <w:shd w:val="clear" w:color="auto" w:fill="FFFFFF"/>
        <w:rPr>
          <w:color w:val="0000FF"/>
        </w:rPr>
      </w:pPr>
      <w:r>
        <w:rPr>
          <w:color w:val="0000FF"/>
        </w:rPr>
        <w:t xml:space="preserve">March </w:t>
      </w:r>
      <w:proofErr w:type="gramStart"/>
      <w:r>
        <w:rPr>
          <w:color w:val="0000FF"/>
        </w:rPr>
        <w:t>22nd :</w:t>
      </w:r>
      <w:proofErr w:type="gramEnd"/>
      <w:r>
        <w:rPr>
          <w:color w:val="0000FF"/>
        </w:rPr>
        <w:t xml:space="preserve"> Residents 60+ and certain workers (see </w:t>
      </w:r>
      <w:hyperlink r:id="rId48" w:history="1">
        <w:r>
          <w:rPr>
            <w:rStyle w:val="Hyperlink"/>
          </w:rPr>
          <w:t>https://www.mass.gov/info-details/covid-19-vaccinations-for-certain-workers</w:t>
        </w:r>
      </w:hyperlink>
      <w:r>
        <w:rPr>
          <w:color w:val="0000FF"/>
        </w:rPr>
        <w:t>)</w:t>
      </w:r>
    </w:p>
    <w:p w:rsidR="007D5D38" w:rsidRDefault="007D5D38" w:rsidP="007D5D38">
      <w:pPr>
        <w:shd w:val="clear" w:color="auto" w:fill="FFFFFF"/>
        <w:rPr>
          <w:color w:val="0000FF"/>
        </w:rPr>
      </w:pPr>
      <w:r>
        <w:rPr>
          <w:color w:val="0000FF"/>
        </w:rPr>
        <w:t xml:space="preserve">April </w:t>
      </w:r>
      <w:proofErr w:type="gramStart"/>
      <w:r>
        <w:rPr>
          <w:color w:val="0000FF"/>
        </w:rPr>
        <w:t>5th :</w:t>
      </w:r>
      <w:proofErr w:type="gramEnd"/>
      <w:r>
        <w:rPr>
          <w:color w:val="0000FF"/>
        </w:rPr>
        <w:t>       Residents 55+ and residents with one certain medical condition</w:t>
      </w:r>
    </w:p>
    <w:p w:rsidR="007D5D38" w:rsidRDefault="007D5D38" w:rsidP="007D5D38">
      <w:pPr>
        <w:shd w:val="clear" w:color="auto" w:fill="FFFFFF"/>
        <w:rPr>
          <w:color w:val="0000FF"/>
        </w:rPr>
      </w:pPr>
      <w:r>
        <w:rPr>
          <w:color w:val="0000FF"/>
        </w:rPr>
        <w:t>April 19th:      General public ages 16 years of age and older</w:t>
      </w:r>
    </w:p>
    <w:p w:rsidR="007D5D38" w:rsidRDefault="007D5D38" w:rsidP="007D5D38">
      <w:pPr>
        <w:shd w:val="clear" w:color="auto" w:fill="FFFFFF"/>
        <w:rPr>
          <w:color w:val="0000FF"/>
        </w:rPr>
      </w:pPr>
    </w:p>
    <w:p w:rsidR="007D5D38" w:rsidRDefault="007D5D38" w:rsidP="007D5D38">
      <w:pPr>
        <w:pStyle w:val="xxxxxmsonormal"/>
        <w:shd w:val="clear" w:color="auto" w:fill="FFFFFF"/>
        <w:rPr>
          <w:rFonts w:ascii="Calibri" w:hAnsi="Calibri" w:cs="Calibri"/>
          <w:color w:val="000000"/>
          <w:sz w:val="22"/>
          <w:szCs w:val="22"/>
        </w:rPr>
      </w:pPr>
      <w:r>
        <w:rPr>
          <w:rFonts w:ascii="Calibri" w:hAnsi="Calibri" w:cs="Calibri"/>
          <w:color w:val="0000FF"/>
          <w:bdr w:val="none" w:sz="0" w:space="0" w:color="auto" w:frame="1"/>
          <w:shd w:val="clear" w:color="auto" w:fill="FFFFFF"/>
        </w:rPr>
        <w:lastRenderedPageBreak/>
        <w:t>          </w:t>
      </w:r>
      <w:r>
        <w:rPr>
          <w:rFonts w:ascii="Calibri" w:hAnsi="Calibri" w:cs="Calibri"/>
          <w:noProof/>
          <w:color w:val="0000FF"/>
          <w:bdr w:val="none" w:sz="0" w:space="0" w:color="auto" w:frame="1"/>
          <w:shd w:val="clear" w:color="auto" w:fill="FFFFFF"/>
        </w:rPr>
        <w:drawing>
          <wp:inline distT="0" distB="0" distL="0" distR="0" wp14:anchorId="5A1B09A7" wp14:editId="5A4E3697">
            <wp:extent cx="5648325" cy="7715250"/>
            <wp:effectExtent l="0" t="0" r="9525" b="0"/>
            <wp:docPr id="10" name="Picture 10" descr="cid:dd1e86fe-00ba-4f89-8b3e-582f02b76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dd1e86fe-00ba-4f89-8b3e-582f02b766fc"/>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648325" cy="7715250"/>
                    </a:xfrm>
                    <a:prstGeom prst="rect">
                      <a:avLst/>
                    </a:prstGeom>
                    <a:noFill/>
                    <a:ln>
                      <a:noFill/>
                    </a:ln>
                  </pic:spPr>
                </pic:pic>
              </a:graphicData>
            </a:graphic>
          </wp:inline>
        </w:drawing>
      </w:r>
    </w:p>
    <w:p w:rsidR="007D5D38" w:rsidRDefault="007D5D38" w:rsidP="007D5D38">
      <w:pPr>
        <w:shd w:val="clear" w:color="auto" w:fill="FFFFFF"/>
        <w:rPr>
          <w:color w:val="000000"/>
        </w:rPr>
      </w:pPr>
    </w:p>
    <w:p w:rsidR="00362585" w:rsidRDefault="00362585" w:rsidP="007D5D38">
      <w:pPr>
        <w:shd w:val="clear" w:color="auto" w:fill="FFFFFF"/>
        <w:rPr>
          <w:color w:val="000000"/>
          <w:bdr w:val="none" w:sz="0" w:space="0" w:color="auto" w:frame="1"/>
          <w:shd w:val="clear" w:color="auto" w:fill="FFFFFF"/>
        </w:rPr>
      </w:pPr>
    </w:p>
    <w:p w:rsidR="007D5D38" w:rsidRDefault="007D5D38" w:rsidP="007D5D38">
      <w:pPr>
        <w:shd w:val="clear" w:color="auto" w:fill="FFFFFF"/>
        <w:rPr>
          <w:color w:val="000000"/>
        </w:rPr>
      </w:pPr>
      <w:bookmarkStart w:id="0" w:name="_GoBack"/>
      <w:bookmarkEnd w:id="0"/>
      <w:r>
        <w:rPr>
          <w:color w:val="000000"/>
          <w:bdr w:val="none" w:sz="0" w:space="0" w:color="auto" w:frame="1"/>
          <w:shd w:val="clear" w:color="auto" w:fill="FFFFFF"/>
        </w:rPr>
        <w:lastRenderedPageBreak/>
        <w:t>Vaccination at local clinics during Phase 2 is by appointment only and </w:t>
      </w:r>
      <w:r>
        <w:rPr>
          <w:b/>
          <w:bCs/>
          <w:color w:val="000000"/>
          <w:bdr w:val="none" w:sz="0" w:space="0" w:color="auto" w:frame="1"/>
          <w:shd w:val="clear" w:color="auto" w:fill="FFFFFF"/>
        </w:rPr>
        <w:t>appointments are announced and able to be scheduled once County and local health authorities are sure of vaccine availability from the DPH</w:t>
      </w:r>
      <w:r>
        <w:rPr>
          <w:color w:val="000000"/>
          <w:bdr w:val="none" w:sz="0" w:space="0" w:color="auto" w:frame="1"/>
          <w:shd w:val="clear" w:color="auto" w:fill="FFFFFF"/>
        </w:rPr>
        <w:t>.  The public is being given notice of planned vaccination clinics for eligible persons in Phase 2.  </w:t>
      </w:r>
      <w:r>
        <w:rPr>
          <w:color w:val="000000"/>
        </w:rPr>
        <w:t> </w:t>
      </w:r>
    </w:p>
    <w:p w:rsidR="007D5D38" w:rsidRDefault="007D5D38" w:rsidP="007D5D38">
      <w:pPr>
        <w:shd w:val="clear" w:color="auto" w:fill="FFFFFF"/>
        <w:rPr>
          <w:color w:val="000000"/>
        </w:rPr>
      </w:pP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rPr>
        <w:t>Appointments (</w:t>
      </w:r>
      <w:hyperlink r:id="rId51" w:history="1">
        <w:r>
          <w:rPr>
            <w:rStyle w:val="Hyperlink"/>
            <w:rFonts w:ascii="Calibri" w:hAnsi="Calibri" w:cs="Calibri"/>
            <w:bdr w:val="none" w:sz="0" w:space="0" w:color="auto" w:frame="1"/>
            <w:shd w:val="clear" w:color="auto" w:fill="FFFFFF"/>
          </w:rPr>
          <w:t>https://www.cic-health.com/vaccines-location</w:t>
        </w:r>
      </w:hyperlink>
      <w:r>
        <w:rPr>
          <w:rFonts w:ascii="Calibri" w:hAnsi="Calibri" w:cs="Calibri"/>
          <w:b/>
          <w:bCs/>
          <w:color w:val="000000"/>
        </w:rPr>
        <w:t>) </w:t>
      </w:r>
      <w:r>
        <w:rPr>
          <w:rFonts w:ascii="Calibri" w:hAnsi="Calibri" w:cs="Calibri"/>
          <w:color w:val="000000"/>
        </w:rPr>
        <w:t>may not be immediately available due to overwhelming demand and still-limited supply of vaccine from the manufacturers.  </w:t>
      </w:r>
      <w:r>
        <w:rPr>
          <w:rFonts w:ascii="Calibri" w:hAnsi="Calibri" w:cs="Calibri"/>
          <w:b/>
          <w:bCs/>
          <w:color w:val="000000"/>
        </w:rPr>
        <w:t>A</w:t>
      </w:r>
      <w:r>
        <w:rPr>
          <w:rFonts w:ascii="Calibri" w:hAnsi="Calibri" w:cs="Calibri"/>
          <w:b/>
          <w:bCs/>
          <w:color w:val="000000"/>
          <w:shd w:val="clear" w:color="auto" w:fill="FFFFFF"/>
        </w:rPr>
        <w:t>ppointments for local vaccination clinics are only being scheduled once County and local health authorities can be sure of vaccine availability from the DPH</w:t>
      </w:r>
      <w:r>
        <w:rPr>
          <w:rFonts w:ascii="Calibri" w:hAnsi="Calibri" w:cs="Calibri"/>
          <w:color w:val="000000"/>
          <w:bdr w:val="none" w:sz="0" w:space="0" w:color="auto" w:frame="1"/>
          <w:shd w:val="clear" w:color="auto" w:fill="FFFFFF"/>
        </w:rPr>
        <w:t>.  The public is being given notice of planned vaccination clinics for eligible persons in Phase 2.</w:t>
      </w:r>
      <w:r>
        <w:rPr>
          <w:rFonts w:ascii="Calibri" w:hAnsi="Calibri" w:cs="Calibri"/>
          <w:color w:val="000000"/>
          <w:sz w:val="21"/>
          <w:szCs w:val="21"/>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Vaccination is available at several </w:t>
      </w:r>
      <w:r>
        <w:rPr>
          <w:rFonts w:ascii="Calibri" w:hAnsi="Calibri" w:cs="Calibri"/>
          <w:b/>
          <w:bCs/>
          <w:color w:val="000000"/>
          <w:bdr w:val="none" w:sz="0" w:space="0" w:color="auto" w:frame="1"/>
          <w:shd w:val="clear" w:color="auto" w:fill="FFFF80"/>
        </w:rPr>
        <w:t>State-run mass vaccination sites</w:t>
      </w:r>
      <w:r>
        <w:rPr>
          <w:rFonts w:ascii="Calibri" w:hAnsi="Calibri" w:cs="Calibri"/>
          <w:b/>
          <w:bCs/>
          <w:color w:val="000000"/>
          <w:bdr w:val="none" w:sz="0" w:space="0" w:color="auto" w:frame="1"/>
          <w:shd w:val="clear" w:color="auto" w:fill="FFFFFF"/>
        </w:rPr>
        <w:t> </w:t>
      </w:r>
      <w:r>
        <w:rPr>
          <w:rFonts w:ascii="Calibri" w:hAnsi="Calibri" w:cs="Calibri"/>
          <w:color w:val="000000"/>
          <w:bdr w:val="none" w:sz="0" w:space="0" w:color="auto" w:frame="1"/>
          <w:shd w:val="clear" w:color="auto" w:fill="FFFFFF"/>
        </w:rPr>
        <w:t>around Massachusetts.  The closest ones to Cape Cod are at </w:t>
      </w:r>
      <w:r>
        <w:rPr>
          <w:rFonts w:ascii="Calibri" w:hAnsi="Calibri" w:cs="Calibri"/>
          <w:b/>
          <w:bCs/>
          <w:color w:val="000000"/>
          <w:bdr w:val="none" w:sz="0" w:space="0" w:color="auto" w:frame="1"/>
          <w:shd w:val="clear" w:color="auto" w:fill="FFFFFF"/>
        </w:rPr>
        <w:t>Gillette Stadium in Foxboro and in Dartmouth</w:t>
      </w:r>
      <w:r>
        <w:rPr>
          <w:rFonts w:ascii="Calibri" w:hAnsi="Calibri" w:cs="Calibri"/>
          <w:color w:val="000000"/>
          <w:bdr w:val="none" w:sz="0" w:space="0" w:color="auto" w:frame="1"/>
          <w:shd w:val="clear" w:color="auto" w:fill="FFFFFF"/>
        </w:rPr>
        <w:t>.  Appointments can be scheduled by visiting </w:t>
      </w:r>
      <w:hyperlink r:id="rId52" w:history="1">
        <w:r>
          <w:rPr>
            <w:rStyle w:val="Hyperlink"/>
            <w:rFonts w:ascii="Calibri" w:hAnsi="Calibri" w:cs="Calibri"/>
            <w:bdr w:val="none" w:sz="0" w:space="0" w:color="auto" w:frame="1"/>
            <w:shd w:val="clear" w:color="auto" w:fill="FFFFFF"/>
          </w:rPr>
          <w:t>https://www.cic-health.com/vaccines-location</w:t>
        </w:r>
      </w:hyperlink>
      <w:r>
        <w:rPr>
          <w:rFonts w:ascii="Calibri" w:hAnsi="Calibri" w:cs="Calibri"/>
          <w:color w:val="000000"/>
          <w:bdr w:val="none" w:sz="0" w:space="0" w:color="auto" w:frame="1"/>
          <w:shd w:val="clear" w:color="auto" w:fill="FFFFFF"/>
        </w:rPr>
        <w:t>, or calling </w:t>
      </w:r>
      <w:r>
        <w:rPr>
          <w:rFonts w:ascii="Calibri" w:hAnsi="Calibri" w:cs="Calibri"/>
          <w:b/>
          <w:bCs/>
          <w:color w:val="000000"/>
          <w:bdr w:val="none" w:sz="0" w:space="0" w:color="auto" w:frame="1"/>
          <w:shd w:val="clear" w:color="auto" w:fill="FFFFFF"/>
        </w:rPr>
        <w:t>2-1-1</w:t>
      </w:r>
      <w:r>
        <w:rPr>
          <w:rFonts w:ascii="Calibri" w:hAnsi="Calibri" w:cs="Calibri"/>
          <w:color w:val="000000"/>
          <w:bdr w:val="none" w:sz="0" w:space="0" w:color="auto" w:frame="1"/>
          <w:shd w:val="clear" w:color="auto" w:fill="FFFFFF"/>
        </w:rPr>
        <w:t> and following the prompts if the citizen does not have access to/or cannot operate on the internet.</w:t>
      </w:r>
      <w:r>
        <w:rPr>
          <w:rFonts w:ascii="Calibri" w:hAnsi="Calibri" w:cs="Calibri"/>
          <w:color w:val="000000"/>
          <w:sz w:val="22"/>
          <w:szCs w:val="22"/>
          <w:bdr w:val="none" w:sz="0" w:space="0" w:color="auto" w:frame="1"/>
          <w:shd w:val="clear" w:color="auto" w:fill="FFFFFF"/>
        </w:rPr>
        <w:t> </w:t>
      </w:r>
      <w:r>
        <w:rPr>
          <w:rFonts w:ascii="Calibri" w:hAnsi="Calibri" w:cs="Calibri"/>
          <w:color w:val="000000"/>
          <w:bdr w:val="none" w:sz="0" w:space="0" w:color="auto" w:frame="1"/>
          <w:shd w:val="clear" w:color="auto" w:fill="FFFFFF"/>
        </w:rPr>
        <w:br/>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-Plans for 4-5 sub-regional mass vaccination sites on Cape Cod, for operation during Phase 2, are in place.  A </w:t>
      </w:r>
      <w:r>
        <w:rPr>
          <w:rFonts w:ascii="Calibri" w:hAnsi="Calibri" w:cs="Calibri"/>
          <w:b/>
          <w:bCs/>
          <w:color w:val="000000"/>
          <w:bdr w:val="none" w:sz="0" w:space="0" w:color="auto" w:frame="1"/>
          <w:shd w:val="clear" w:color="auto" w:fill="FFFF00"/>
        </w:rPr>
        <w:t>Cape Cod Regional Vaccine Consortium</w:t>
      </w:r>
      <w:r>
        <w:rPr>
          <w:rFonts w:ascii="Calibri" w:hAnsi="Calibri" w:cs="Calibri"/>
          <w:color w:val="000000"/>
          <w:bdr w:val="none" w:sz="0" w:space="0" w:color="auto" w:frame="1"/>
          <w:shd w:val="clear" w:color="auto" w:fill="FFFFFF"/>
        </w:rPr>
        <w:t xml:space="preserve"> has been established via a partnership between the Barnstable County Health </w:t>
      </w:r>
      <w:proofErr w:type="spellStart"/>
      <w:r>
        <w:rPr>
          <w:rFonts w:ascii="Calibri" w:hAnsi="Calibri" w:cs="Calibri"/>
          <w:color w:val="000000"/>
          <w:bdr w:val="none" w:sz="0" w:space="0" w:color="auto" w:frame="1"/>
          <w:shd w:val="clear" w:color="auto" w:fill="FFFFFF"/>
        </w:rPr>
        <w:t>Dept</w:t>
      </w:r>
      <w:proofErr w:type="spellEnd"/>
      <w:r>
        <w:rPr>
          <w:rFonts w:ascii="Calibri" w:hAnsi="Calibri" w:cs="Calibri"/>
          <w:color w:val="000000"/>
          <w:bdr w:val="none" w:sz="0" w:space="0" w:color="auto" w:frame="1"/>
          <w:shd w:val="clear" w:color="auto" w:fill="FFFFFF"/>
        </w:rPr>
        <w:t>, Local Town Boards of Health (LBOHs), Community Health Centers (CHCs), and Cape Cod Healthcare, and has received support from the DPH.  The Consortium has established a </w:t>
      </w:r>
      <w:r>
        <w:rPr>
          <w:rFonts w:ascii="Calibri" w:hAnsi="Calibri" w:cs="Calibri"/>
          <w:b/>
          <w:bCs/>
          <w:color w:val="000000"/>
          <w:bdr w:val="none" w:sz="0" w:space="0" w:color="auto" w:frame="1"/>
          <w:shd w:val="clear" w:color="auto" w:fill="FFFFFF"/>
        </w:rPr>
        <w:t>vaccination site at Cape Cod Community College</w:t>
      </w:r>
      <w:r>
        <w:rPr>
          <w:rFonts w:ascii="Calibri" w:hAnsi="Calibri" w:cs="Calibri"/>
          <w:color w:val="000000"/>
          <w:bdr w:val="none" w:sz="0" w:space="0" w:color="auto" w:frame="1"/>
          <w:shd w:val="clear" w:color="auto" w:fill="FFFFFF"/>
        </w:rPr>
        <w:t> and is also working with LBOHs and CHC to </w:t>
      </w:r>
      <w:r>
        <w:rPr>
          <w:rFonts w:ascii="Calibri" w:hAnsi="Calibri" w:cs="Calibri"/>
          <w:b/>
          <w:bCs/>
          <w:color w:val="000000"/>
          <w:bdr w:val="none" w:sz="0" w:space="0" w:color="auto" w:frame="1"/>
          <w:shd w:val="clear" w:color="auto" w:fill="FFFFFF"/>
        </w:rPr>
        <w:t>organize in-reach to homebound persons</w:t>
      </w:r>
      <w:r>
        <w:rPr>
          <w:rFonts w:ascii="Calibri" w:hAnsi="Calibri" w:cs="Calibri"/>
          <w:color w:val="000000"/>
          <w:bdr w:val="none" w:sz="0" w:space="0" w:color="auto" w:frame="1"/>
          <w:shd w:val="clear" w:color="auto" w:fill="FFFFFF"/>
        </w:rPr>
        <w:t> to vaccinate them.  </w:t>
      </w:r>
      <w:r>
        <w:rPr>
          <w:rFonts w:ascii="Calibri" w:hAnsi="Calibri" w:cs="Calibri"/>
          <w:b/>
          <w:bCs/>
          <w:color w:val="000000"/>
          <w:bdr w:val="none" w:sz="0" w:space="0" w:color="auto" w:frame="1"/>
          <w:shd w:val="clear" w:color="auto" w:fill="FFFFFF"/>
        </w:rPr>
        <w:t>The DPH is responsible for providing sufficient vaccine in order for the Consortium to reach its full potential.</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00"/>
        </w:rPr>
        <w:t>Harbor Health Services, Inc. (Hyannis)</w:t>
      </w:r>
      <w:r>
        <w:rPr>
          <w:rFonts w:ascii="Calibri" w:hAnsi="Calibri" w:cs="Calibri"/>
          <w:color w:val="000000"/>
          <w:bdr w:val="none" w:sz="0" w:space="0" w:color="auto" w:frame="1"/>
        </w:rPr>
        <w:t> will join the other three Federally Qualified Community Health Centers on Cape Cod in offering </w:t>
      </w:r>
      <w:r>
        <w:rPr>
          <w:rFonts w:ascii="Calibri" w:hAnsi="Calibri" w:cs="Calibri"/>
          <w:b/>
          <w:bCs/>
          <w:color w:val="000000"/>
          <w:bdr w:val="none" w:sz="0" w:space="0" w:color="auto" w:frame="1"/>
          <w:shd w:val="clear" w:color="auto" w:fill="FFFF00"/>
        </w:rPr>
        <w:t>vaccination clinics.</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The State has contracted with </w:t>
      </w:r>
      <w:r>
        <w:rPr>
          <w:rFonts w:ascii="Calibri" w:hAnsi="Calibri" w:cs="Calibri"/>
          <w:b/>
          <w:bCs/>
          <w:color w:val="000000"/>
          <w:bdr w:val="none" w:sz="0" w:space="0" w:color="auto" w:frame="1"/>
        </w:rPr>
        <w:t>CVS and Walgreens </w:t>
      </w:r>
      <w:r>
        <w:rPr>
          <w:rFonts w:ascii="Calibri" w:hAnsi="Calibri" w:cs="Calibri"/>
          <w:color w:val="000000"/>
          <w:bdr w:val="none" w:sz="0" w:space="0" w:color="auto" w:frame="1"/>
        </w:rPr>
        <w:t>to arrange vaccination of </w:t>
      </w:r>
      <w:r>
        <w:rPr>
          <w:rFonts w:ascii="Calibri" w:hAnsi="Calibri" w:cs="Calibri"/>
          <w:b/>
          <w:bCs/>
          <w:color w:val="000000"/>
          <w:bdr w:val="none" w:sz="0" w:space="0" w:color="auto" w:frame="1"/>
        </w:rPr>
        <w:t>older adults in SNFs/congregate care.  CVS, Walgreens, </w:t>
      </w:r>
      <w:r>
        <w:rPr>
          <w:rFonts w:ascii="Calibri" w:hAnsi="Calibri" w:cs="Calibri"/>
          <w:b/>
          <w:bCs/>
          <w:color w:val="000000"/>
          <w:bdr w:val="none" w:sz="0" w:space="0" w:color="auto" w:frame="1"/>
          <w:shd w:val="clear" w:color="auto" w:fill="FFFFFF"/>
        </w:rPr>
        <w:t>and Stop &amp; Shop pharmacies</w:t>
      </w:r>
      <w:r>
        <w:rPr>
          <w:rFonts w:ascii="Calibri" w:hAnsi="Calibri" w:cs="Calibri"/>
          <w:color w:val="000000"/>
          <w:bdr w:val="none" w:sz="0" w:space="0" w:color="auto" w:frame="1"/>
        </w:rPr>
        <w:t> are also scheduling vaccinations for the groups in Phase 2, again depending upon vaccine supply.</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80FFFF"/>
        </w:rPr>
        <w:t>The DPH has begun reporting vaccination progress age group and by town</w:t>
      </w:r>
      <w:r>
        <w:rPr>
          <w:rFonts w:ascii="Calibri" w:hAnsi="Calibri" w:cs="Calibri"/>
          <w:color w:val="000000"/>
          <w:bdr w:val="none" w:sz="0" w:space="0" w:color="auto" w:frame="1"/>
          <w:shd w:val="clear" w:color="auto" w:fill="FFFFFF"/>
        </w:rPr>
        <w:t xml:space="preserve">.  Below is a summary for Barnstable County by age group </w:t>
      </w:r>
      <w:r>
        <w:rPr>
          <w:rFonts w:ascii="Calibri" w:hAnsi="Calibri" w:cs="Calibri"/>
          <w:b/>
          <w:bCs/>
          <w:color w:val="C82613"/>
          <w:bdr w:val="none" w:sz="0" w:space="0" w:color="auto" w:frame="1"/>
          <w:shd w:val="clear" w:color="auto" w:fill="FFFFFF"/>
        </w:rPr>
        <w:t>(3/17 update in process)</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lastRenderedPageBreak/>
        <w:t> </w:t>
      </w:r>
      <w:r>
        <w:rPr>
          <w:rFonts w:ascii="Calibri" w:hAnsi="Calibri" w:cs="Calibri"/>
          <w:noProof/>
          <w:color w:val="000000"/>
          <w:sz w:val="22"/>
          <w:szCs w:val="22"/>
        </w:rPr>
        <w:drawing>
          <wp:inline distT="0" distB="0" distL="0" distR="0" wp14:anchorId="0591206A" wp14:editId="2B954904">
            <wp:extent cx="6400723" cy="2905125"/>
            <wp:effectExtent l="0" t="0" r="635" b="0"/>
            <wp:docPr id="9" name="Picture 9" descr="cid:92779230-b753-4fae-b96f-c1dbd3b7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92779230-b753-4fae-b96f-c1dbd3b74863"/>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406975" cy="2907962"/>
                    </a:xfrm>
                    <a:prstGeom prst="rect">
                      <a:avLst/>
                    </a:prstGeom>
                    <a:noFill/>
                    <a:ln>
                      <a:noFill/>
                    </a:ln>
                  </pic:spPr>
                </pic:pic>
              </a:graphicData>
            </a:graphic>
          </wp:inline>
        </w:drawing>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r>
        <w:rPr>
          <w:rFonts w:ascii="Calibri" w:hAnsi="Calibri" w:cs="Calibri"/>
          <w:b/>
          <w:bCs/>
          <w:color w:val="000000"/>
          <w:u w:val="single"/>
          <w:bdr w:val="none" w:sz="0" w:space="0" w:color="auto" w:frame="1"/>
        </w:rPr>
        <w:t>7.  COVID Mutation and Changes in Transmissibility/Virulence/Other</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The emergence of a variant of the COVID-19 virus in the UK</w:t>
      </w:r>
      <w:r>
        <w:rPr>
          <w:rFonts w:ascii="Calibri" w:hAnsi="Calibri" w:cs="Calibri"/>
          <w:color w:val="000000"/>
          <w:bdr w:val="none" w:sz="0" w:space="0" w:color="auto" w:frame="1"/>
        </w:rPr>
        <w:t>, classified as </w:t>
      </w:r>
      <w:r>
        <w:rPr>
          <w:rFonts w:ascii="Calibri" w:hAnsi="Calibri" w:cs="Calibri"/>
          <w:b/>
          <w:bCs/>
          <w:color w:val="000000"/>
          <w:bdr w:val="none" w:sz="0" w:space="0" w:color="auto" w:frame="1"/>
        </w:rPr>
        <w:t>B.1.1.7</w:t>
      </w:r>
      <w:r>
        <w:rPr>
          <w:rFonts w:ascii="Calibri" w:hAnsi="Calibri" w:cs="Calibri"/>
          <w:color w:val="000000"/>
          <w:bdr w:val="none" w:sz="0" w:space="0" w:color="auto" w:frame="1"/>
        </w:rPr>
        <w:t>, was identified in September and publicized in early December.  Reports hold that B117 is 50% - 70% more contagious than our predominant variant now circulating (D614G).  </w:t>
      </w:r>
      <w:r>
        <w:rPr>
          <w:rFonts w:ascii="Calibri" w:hAnsi="Calibri" w:cs="Calibri"/>
          <w:color w:val="000000"/>
          <w:bdr w:val="none" w:sz="0" w:space="0" w:color="auto" w:frame="1"/>
          <w:shd w:val="clear" w:color="auto" w:fill="FFFFFF"/>
        </w:rPr>
        <w:t>Within three months of the variant being identified in the UK it became dominant strain circulating there.</w:t>
      </w:r>
      <w:r>
        <w:rPr>
          <w:rFonts w:ascii="Calibri" w:hAnsi="Calibri" w:cs="Calibri"/>
          <w:color w:val="000000"/>
          <w:bdr w:val="none" w:sz="0" w:space="0" w:color="auto" w:frame="1"/>
        </w:rPr>
        <w:t>  </w:t>
      </w:r>
      <w:r>
        <w:rPr>
          <w:rFonts w:ascii="Calibri" w:hAnsi="Calibri" w:cs="Calibri"/>
          <w:color w:val="000000"/>
          <w:bdr w:val="none" w:sz="0" w:space="0" w:color="auto" w:frame="1"/>
          <w:shd w:val="clear" w:color="auto" w:fill="FFFFFF"/>
        </w:rPr>
        <w:t>Additional variants of concern have emerged internationally: </w:t>
      </w:r>
      <w:r>
        <w:rPr>
          <w:rFonts w:ascii="Calibri" w:hAnsi="Calibri" w:cs="Calibri"/>
          <w:b/>
          <w:bCs/>
          <w:color w:val="000000"/>
          <w:bdr w:val="none" w:sz="0" w:space="0" w:color="auto" w:frame="1"/>
          <w:shd w:val="clear" w:color="auto" w:fill="FFFFFF"/>
        </w:rPr>
        <w:t>B1351</w:t>
      </w:r>
      <w:r>
        <w:rPr>
          <w:rFonts w:ascii="Calibri" w:hAnsi="Calibri" w:cs="Calibri"/>
          <w:color w:val="000000"/>
          <w:bdr w:val="none" w:sz="0" w:space="0" w:color="auto" w:frame="1"/>
          <w:shd w:val="clear" w:color="auto" w:fill="FFFFFF"/>
        </w:rPr>
        <w:t> (South Africa) and Brazil (</w:t>
      </w:r>
      <w:r>
        <w:rPr>
          <w:rFonts w:ascii="Calibri" w:hAnsi="Calibri" w:cs="Calibri"/>
          <w:b/>
          <w:bCs/>
          <w:color w:val="000000"/>
          <w:bdr w:val="none" w:sz="0" w:space="0" w:color="auto" w:frame="1"/>
          <w:shd w:val="clear" w:color="auto" w:fill="FFFFFF"/>
        </w:rPr>
        <w:t>P1</w:t>
      </w:r>
      <w:r>
        <w:rPr>
          <w:rFonts w:ascii="Calibri" w:hAnsi="Calibri" w:cs="Calibri"/>
          <w:color w:val="000000"/>
          <w:bdr w:val="none" w:sz="0" w:space="0" w:color="auto" w:frame="1"/>
          <w:shd w:val="clear" w:color="auto" w:fill="FFFFFF"/>
        </w:rPr>
        <w:t>) which are also highly transmissible. </w:t>
      </w:r>
      <w:r>
        <w:rPr>
          <w:rFonts w:ascii="Calibri" w:hAnsi="Calibri" w:cs="Calibri"/>
          <w:b/>
          <w:bCs/>
          <w:color w:val="000000"/>
          <w:bdr w:val="none" w:sz="0" w:space="0" w:color="auto" w:frame="1"/>
          <w:shd w:val="clear" w:color="auto" w:fill="FFFFFF"/>
        </w:rPr>
        <w:t> </w:t>
      </w:r>
      <w:r>
        <w:rPr>
          <w:rFonts w:ascii="Calibri" w:hAnsi="Calibri" w:cs="Calibri"/>
          <w:b/>
          <w:bCs/>
          <w:color w:val="000000"/>
          <w:bdr w:val="none" w:sz="0" w:space="0" w:color="auto" w:frame="1"/>
          <w:shd w:val="clear" w:color="auto" w:fill="FFFF00"/>
        </w:rPr>
        <w:t>An additional variant, B1526,</w:t>
      </w:r>
      <w:proofErr w:type="gramStart"/>
      <w:r>
        <w:rPr>
          <w:rFonts w:ascii="Calibri" w:hAnsi="Calibri" w:cs="Calibri"/>
          <w:b/>
          <w:bCs/>
          <w:color w:val="000000"/>
          <w:bdr w:val="none" w:sz="0" w:space="0" w:color="auto" w:frame="1"/>
          <w:shd w:val="clear" w:color="auto" w:fill="FFFF00"/>
        </w:rPr>
        <w:t>  emerged</w:t>
      </w:r>
      <w:proofErr w:type="gramEnd"/>
      <w:r>
        <w:rPr>
          <w:rFonts w:ascii="Calibri" w:hAnsi="Calibri" w:cs="Calibri"/>
          <w:b/>
          <w:bCs/>
          <w:color w:val="000000"/>
          <w:bdr w:val="none" w:sz="0" w:space="0" w:color="auto" w:frame="1"/>
          <w:shd w:val="clear" w:color="auto" w:fill="FFFF00"/>
        </w:rPr>
        <w:t xml:space="preserve"> in New York City in November.  Its features are being studied. </w:t>
      </w:r>
      <w:r>
        <w:rPr>
          <w:rFonts w:ascii="Calibri" w:hAnsi="Calibri" w:cs="Calibri"/>
          <w:color w:val="000000"/>
          <w:bdr w:val="none" w:sz="0" w:space="0" w:color="auto" w:frame="1"/>
          <w:shd w:val="clear" w:color="auto" w:fill="FFFF00"/>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br/>
        <w:t>All variants appear to be significantly more transmissible than the virus which dominated Wave 1 of the pandemic.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The first three variants are spreading globally and have been detected in the US.</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rPr>
        <w:t>The B117 and B1351 variants have been identified by the DPH as being in circulation in </w:t>
      </w:r>
      <w:r>
        <w:rPr>
          <w:rFonts w:ascii="Calibri" w:hAnsi="Calibri" w:cs="Calibri"/>
          <w:b/>
          <w:bCs/>
          <w:color w:val="000000"/>
          <w:bdr w:val="none" w:sz="0" w:space="0" w:color="auto" w:frame="1"/>
          <w:shd w:val="clear" w:color="auto" w:fill="FFFF00"/>
        </w:rPr>
        <w:t>MA</w:t>
      </w:r>
      <w:r>
        <w:rPr>
          <w:rFonts w:ascii="Calibri" w:hAnsi="Calibri" w:cs="Calibri"/>
          <w:b/>
          <w:bCs/>
          <w:color w:val="000000"/>
        </w:rPr>
        <w:t>.</w:t>
      </w:r>
      <w:r>
        <w:rPr>
          <w:rFonts w:ascii="Calibri" w:hAnsi="Calibri" w:cs="Calibri"/>
          <w:b/>
          <w:bCs/>
          <w:color w:val="000000"/>
          <w:bdr w:val="none" w:sz="0" w:space="0" w:color="auto" w:frame="1"/>
          <w:shd w:val="clear" w:color="auto" w:fill="FFFFFF"/>
        </w:rPr>
        <w:t>​</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shd w:val="clear" w:color="auto" w:fill="FFFFFF"/>
        </w:rPr>
        <w:t>The B1526 (NYC) variant now accounts for </w:t>
      </w:r>
      <w:r>
        <w:rPr>
          <w:rFonts w:ascii="Calibri" w:hAnsi="Calibri" w:cs="Calibri"/>
          <w:b/>
          <w:bCs/>
          <w:color w:val="000000"/>
          <w:bdr w:val="none" w:sz="0" w:space="0" w:color="auto" w:frame="1"/>
          <w:shd w:val="clear" w:color="auto" w:fill="FFFF80"/>
        </w:rPr>
        <w:t>40%</w:t>
      </w:r>
      <w:r>
        <w:rPr>
          <w:rFonts w:ascii="Calibri" w:hAnsi="Calibri" w:cs="Calibri"/>
          <w:b/>
          <w:bCs/>
          <w:color w:val="000000"/>
          <w:bdr w:val="none" w:sz="0" w:space="0" w:color="auto" w:frame="1"/>
          <w:shd w:val="clear" w:color="auto" w:fill="FFFFFF"/>
        </w:rPr>
        <w:t> of new cases in New York City.</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Researchers are working to determine if the variants differ from D614G (the Wave 1 configuration) in terms of: </w:t>
      </w:r>
      <w:r>
        <w:rPr>
          <w:rFonts w:ascii="Calibri" w:hAnsi="Calibri" w:cs="Calibri"/>
          <w:b/>
          <w:bCs/>
          <w:color w:val="000000"/>
          <w:bdr w:val="none" w:sz="0" w:space="0" w:color="auto" w:frame="1"/>
          <w:shd w:val="clear" w:color="auto" w:fill="FFFFFF"/>
        </w:rPr>
        <w:t>1. </w:t>
      </w:r>
      <w:r>
        <w:rPr>
          <w:rFonts w:ascii="Calibri" w:hAnsi="Calibri" w:cs="Calibri"/>
          <w:color w:val="000000"/>
          <w:bdr w:val="none" w:sz="0" w:space="0" w:color="auto" w:frame="1"/>
          <w:shd w:val="clear" w:color="auto" w:fill="FFFFFF"/>
        </w:rPr>
        <w:t>How sick people become, </w:t>
      </w:r>
      <w:r>
        <w:rPr>
          <w:rFonts w:ascii="Calibri" w:hAnsi="Calibri" w:cs="Calibri"/>
          <w:b/>
          <w:bCs/>
          <w:color w:val="000000"/>
          <w:bdr w:val="none" w:sz="0" w:space="0" w:color="auto" w:frame="1"/>
          <w:shd w:val="clear" w:color="auto" w:fill="FFFFFF"/>
        </w:rPr>
        <w:t>2. </w:t>
      </w:r>
      <w:r>
        <w:rPr>
          <w:rFonts w:ascii="Calibri" w:hAnsi="Calibri" w:cs="Calibri"/>
          <w:color w:val="000000"/>
          <w:bdr w:val="none" w:sz="0" w:space="0" w:color="auto" w:frame="1"/>
          <w:shd w:val="clear" w:color="auto" w:fill="FFFFFF"/>
        </w:rPr>
        <w:t>If natural immunity is different following infection with D614G, and </w:t>
      </w:r>
      <w:r>
        <w:rPr>
          <w:rFonts w:ascii="Calibri" w:hAnsi="Calibri" w:cs="Calibri"/>
          <w:b/>
          <w:bCs/>
          <w:color w:val="000000"/>
          <w:bdr w:val="none" w:sz="0" w:space="0" w:color="auto" w:frame="1"/>
          <w:shd w:val="clear" w:color="auto" w:fill="FFFFFF"/>
        </w:rPr>
        <w:t>3. </w:t>
      </w:r>
      <w:r>
        <w:rPr>
          <w:rFonts w:ascii="Calibri" w:hAnsi="Calibri" w:cs="Calibri"/>
          <w:color w:val="000000"/>
          <w:bdr w:val="none" w:sz="0" w:space="0" w:color="auto" w:frame="1"/>
          <w:shd w:val="clear" w:color="auto" w:fill="FFFFFF"/>
        </w:rPr>
        <w:t>If immunity from vaccination differs since the vaccine was developed during the period that D614G has been predominant. </w:t>
      </w:r>
      <w:r>
        <w:rPr>
          <w:rFonts w:ascii="Calibri" w:hAnsi="Calibri" w:cs="Calibri"/>
          <w:color w:val="000000"/>
          <w:bdr w:val="none" w:sz="0" w:space="0" w:color="auto" w:frame="1"/>
        </w:rPr>
        <w:t> </w:t>
      </w:r>
      <w:r>
        <w:rPr>
          <w:rFonts w:ascii="Calibri" w:hAnsi="Calibri" w:cs="Calibri"/>
          <w:b/>
          <w:bCs/>
          <w:color w:val="000000"/>
          <w:bdr w:val="none" w:sz="0" w:space="0" w:color="auto" w:frame="1"/>
        </w:rPr>
        <w:t>The existing vaccines may be less effective against the new strains.  </w:t>
      </w:r>
      <w:proofErr w:type="spellStart"/>
      <w:r>
        <w:rPr>
          <w:rFonts w:ascii="Calibri" w:hAnsi="Calibri" w:cs="Calibri"/>
          <w:b/>
          <w:bCs/>
          <w:color w:val="000000"/>
          <w:bdr w:val="none" w:sz="0" w:space="0" w:color="auto" w:frame="1"/>
          <w:shd w:val="clear" w:color="auto" w:fill="FFFFFF"/>
        </w:rPr>
        <w:t>Moderna</w:t>
      </w:r>
      <w:proofErr w:type="spellEnd"/>
      <w:r>
        <w:rPr>
          <w:rFonts w:ascii="Calibri" w:hAnsi="Calibri" w:cs="Calibri"/>
          <w:b/>
          <w:bCs/>
          <w:color w:val="000000"/>
          <w:bdr w:val="none" w:sz="0" w:space="0" w:color="auto" w:frame="1"/>
          <w:shd w:val="clear" w:color="auto" w:fill="FFFFFF"/>
        </w:rPr>
        <w:t xml:space="preserve"> and Pfizer are working on booster shots to counter these new strains.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lastRenderedPageBreak/>
        <w:br/>
        <w:t>The CDC is posting surveillance information on the emergence of the variants in the US:  </w:t>
      </w:r>
      <w:hyperlink r:id="rId55" w:history="1">
        <w:r>
          <w:rPr>
            <w:rStyle w:val="Hyperlink"/>
            <w:rFonts w:ascii="Calibri" w:hAnsi="Calibri" w:cs="Calibri"/>
            <w:bdr w:val="none" w:sz="0" w:space="0" w:color="auto" w:frame="1"/>
          </w:rPr>
          <w:t>https://www.cdc.gov/coronavirus/2019-ncov/transmission/variant-cases.html</w:t>
        </w:r>
      </w:hyperlink>
      <w:r>
        <w:rPr>
          <w:rFonts w:ascii="Calibri" w:hAnsi="Calibri" w:cs="Calibri"/>
          <w:color w:val="000000"/>
          <w:bdr w:val="none" w:sz="0" w:space="0" w:color="auto" w:frame="1"/>
        </w:rPr>
        <w:t>.</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shd w:val="clear" w:color="auto" w:fill="FFFFFF"/>
        </w:rPr>
        <w:t xml:space="preserve">According to an article by Andrew Joseph from </w:t>
      </w:r>
      <w:proofErr w:type="spellStart"/>
      <w:r>
        <w:rPr>
          <w:rFonts w:ascii="Calibri" w:hAnsi="Calibri" w:cs="Calibri"/>
          <w:color w:val="000000"/>
          <w:bdr w:val="none" w:sz="0" w:space="0" w:color="auto" w:frame="1"/>
          <w:shd w:val="clear" w:color="auto" w:fill="FFFFFF"/>
        </w:rPr>
        <w:t>StatNews</w:t>
      </w:r>
      <w:proofErr w:type="spellEnd"/>
      <w:r>
        <w:rPr>
          <w:rFonts w:ascii="Calibri" w:hAnsi="Calibri" w:cs="Calibri"/>
          <w:color w:val="000000"/>
          <w:bdr w:val="none" w:sz="0" w:space="0" w:color="auto" w:frame="1"/>
          <w:shd w:val="clear" w:color="auto" w:fill="FFFFFF"/>
        </w:rPr>
        <w:t>, "Coronaviruses evolve more slowly than viruses like flu, but they do pick up mutations as they spread.  </w:t>
      </w:r>
      <w:r>
        <w:rPr>
          <w:rFonts w:ascii="Calibri" w:hAnsi="Calibri" w:cs="Calibri"/>
          <w:b/>
          <w:bCs/>
          <w:color w:val="000000"/>
          <w:bdr w:val="none" w:sz="0" w:space="0" w:color="auto" w:frame="1"/>
          <w:shd w:val="clear" w:color="auto" w:fill="FFFFFF"/>
        </w:rPr>
        <w:t>SARS-CoV-2 has been adding one or two changes a month to its RNA genome since it emerged late last year in China</w:t>
      </w:r>
      <w:r>
        <w:rPr>
          <w:rFonts w:ascii="Calibri" w:hAnsi="Calibri" w:cs="Calibri"/>
          <w:color w:val="000000"/>
          <w:bdr w:val="none" w:sz="0" w:space="0" w:color="auto" w:frame="1"/>
          <w:shd w:val="clear" w:color="auto" w:fill="FFFFFF"/>
        </w:rPr>
        <w:t>, and different versions of the virus have been continuously circulating throughout the course of the pandemic.</w:t>
      </w:r>
      <w:r>
        <w:rPr>
          <w:rFonts w:ascii="Calibri" w:hAnsi="Calibri" w:cs="Calibri"/>
          <w:b/>
          <w:bCs/>
          <w:color w:val="000000"/>
          <w:bdr w:val="none" w:sz="0" w:space="0" w:color="auto" w:frame="1"/>
          <w:shd w:val="clear" w:color="auto" w:fill="FFFFFF"/>
        </w:rPr>
        <w:t> </w:t>
      </w:r>
      <w:r>
        <w:rPr>
          <w:rFonts w:ascii="Calibri" w:hAnsi="Calibri" w:cs="Calibri"/>
          <w:color w:val="C82613"/>
          <w:bdr w:val="none" w:sz="0" w:space="0" w:color="auto" w:frame="1"/>
          <w:shd w:val="clear" w:color="auto" w:fill="FFFFFF"/>
        </w:rPr>
        <w:t>But this variant (B.1.1.7 or VUI-202012/01) showed up with at least 17 mutations,</w:t>
      </w:r>
      <w:r>
        <w:rPr>
          <w:rFonts w:ascii="Calibri" w:hAnsi="Calibri" w:cs="Calibri"/>
          <w:b/>
          <w:bCs/>
          <w:color w:val="C82613"/>
          <w:bdr w:val="none" w:sz="0" w:space="0" w:color="auto" w:frame="1"/>
          <w:shd w:val="clear" w:color="auto" w:fill="FFFFFF"/>
        </w:rPr>
        <w:t> </w:t>
      </w:r>
      <w:r>
        <w:rPr>
          <w:rFonts w:ascii="Calibri" w:hAnsi="Calibri" w:cs="Calibri"/>
          <w:color w:val="000000"/>
          <w:bdr w:val="none" w:sz="0" w:space="0" w:color="auto" w:frame="1"/>
          <w:shd w:val="clear" w:color="auto" w:fill="FFFFFF"/>
        </w:rPr>
        <w:t>according to one genetic analysis." (Source: </w:t>
      </w:r>
      <w:hyperlink r:id="rId56" w:tgtFrame="_blank" w:history="1">
        <w:r>
          <w:rPr>
            <w:rStyle w:val="Hyperlink"/>
            <w:rFonts w:ascii="Calibri" w:hAnsi="Calibri" w:cs="Calibri"/>
            <w:sz w:val="20"/>
            <w:szCs w:val="20"/>
            <w:bdr w:val="none" w:sz="0" w:space="0" w:color="auto" w:frame="1"/>
            <w:shd w:val="clear" w:color="auto" w:fill="FFFFFF"/>
          </w:rPr>
          <w:t>https://www.statnews.com/2020/12/21/looming-questions-new-variant-coronavirus/?utm_source=STAT+Newsletters&amp;utm_campaign=1a74bda2ca-MR_COPY_01&amp;utm_medium=email&amp;utm_term=0_8cab1d7961-1a74bda2ca-150158417</w:t>
        </w:r>
      </w:hyperlink>
      <w:r>
        <w:rPr>
          <w:rFonts w:ascii="Calibri" w:hAnsi="Calibri" w:cs="Calibri"/>
          <w:color w:val="000000"/>
          <w:sz w:val="20"/>
          <w:szCs w:val="20"/>
          <w:bdr w:val="none" w:sz="0" w:space="0" w:color="auto" w:frame="1"/>
          <w:shd w:val="clear" w:color="auto" w:fill="FFFFFF"/>
        </w:rPr>
        <w:t> </w:t>
      </w:r>
      <w:r>
        <w:rPr>
          <w:rFonts w:ascii="Calibri" w:hAnsi="Calibri" w:cs="Calibri"/>
          <w:color w:val="000000"/>
          <w:bdr w:val="none" w:sz="0" w:space="0" w:color="auto" w:frame="1"/>
          <w:shd w:val="clear" w:color="auto" w:fill="FFFFFF"/>
        </w:rPr>
        <w:t>).</w:t>
      </w:r>
      <w:r>
        <w:rPr>
          <w:rFonts w:ascii="Calibri" w:hAnsi="Calibri" w:cs="Calibri"/>
          <w:color w:val="000000"/>
          <w:bdr w:val="none" w:sz="0" w:space="0" w:color="auto" w:frame="1"/>
        </w:rPr>
        <w:t> </w:t>
      </w: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bdr w:val="none" w:sz="0" w:space="0" w:color="auto" w:frame="1"/>
        </w:rPr>
        <w:t>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 ______________________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Vaira Harik</w:t>
      </w:r>
      <w:r>
        <w:rPr>
          <w:rFonts w:ascii="Calibri" w:hAnsi="Calibri" w:cs="Calibri"/>
          <w:color w:val="000000"/>
          <w:bdr w:val="none" w:sz="0" w:space="0" w:color="auto" w:frame="1"/>
        </w:rPr>
        <w:t>, M.S.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Deputy Director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color w:val="000000"/>
          <w:bdr w:val="none" w:sz="0" w:space="0" w:color="auto" w:frame="1"/>
        </w:rPr>
        <w:t>Barnstable County Dept. of Human Services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Cell: </w:t>
      </w:r>
      <w:r>
        <w:rPr>
          <w:rFonts w:ascii="Calibri" w:hAnsi="Calibri" w:cs="Calibri"/>
          <w:color w:val="000000"/>
          <w:bdr w:val="none" w:sz="0" w:space="0" w:color="auto" w:frame="1"/>
        </w:rPr>
        <w:t>520-271-6314 </w:t>
      </w:r>
      <w:r>
        <w:rPr>
          <w:rFonts w:ascii="Calibri" w:hAnsi="Calibri" w:cs="Calibri"/>
          <w:color w:val="000000"/>
          <w:sz w:val="22"/>
          <w:szCs w:val="22"/>
        </w:rPr>
        <w:t> </w:t>
      </w:r>
    </w:p>
    <w:p w:rsidR="007D5D38" w:rsidRDefault="007D5D38" w:rsidP="007D5D38">
      <w:pPr>
        <w:pStyle w:val="xxxmsonormal"/>
        <w:shd w:val="clear" w:color="auto" w:fill="FFFFFF"/>
        <w:rPr>
          <w:rFonts w:ascii="Calibri" w:hAnsi="Calibri" w:cs="Calibri"/>
          <w:color w:val="000000"/>
          <w:sz w:val="22"/>
          <w:szCs w:val="22"/>
        </w:rPr>
      </w:pPr>
      <w:r>
        <w:rPr>
          <w:rFonts w:ascii="Calibri" w:hAnsi="Calibri" w:cs="Calibri"/>
          <w:b/>
          <w:bCs/>
          <w:color w:val="000000"/>
          <w:bdr w:val="none" w:sz="0" w:space="0" w:color="auto" w:frame="1"/>
        </w:rPr>
        <w:t>Email</w:t>
      </w:r>
      <w:r>
        <w:rPr>
          <w:rFonts w:ascii="Calibri" w:hAnsi="Calibri" w:cs="Calibri"/>
          <w:color w:val="000000"/>
          <w:bdr w:val="none" w:sz="0" w:space="0" w:color="auto" w:frame="1"/>
        </w:rPr>
        <w:t>:  </w:t>
      </w:r>
      <w:hyperlink r:id="rId57" w:history="1">
        <w:r>
          <w:rPr>
            <w:rStyle w:val="Hyperlink"/>
            <w:rFonts w:ascii="Calibri" w:hAnsi="Calibri" w:cs="Calibri"/>
            <w:bdr w:val="none" w:sz="0" w:space="0" w:color="auto" w:frame="1"/>
          </w:rPr>
          <w:t>vharik@barnstablecounty.org</w:t>
        </w:r>
      </w:hyperlink>
      <w:r>
        <w:rPr>
          <w:rFonts w:ascii="Calibri" w:hAnsi="Calibri" w:cs="Calibri"/>
          <w:color w:val="000000"/>
          <w:bdr w:val="none" w:sz="0" w:space="0" w:color="auto" w:frame="1"/>
        </w:rPr>
        <w:t> </w:t>
      </w:r>
      <w:r>
        <w:rPr>
          <w:rFonts w:ascii="Calibri" w:hAnsi="Calibri" w:cs="Calibri"/>
          <w:color w:val="000000"/>
          <w:sz w:val="22"/>
          <w:szCs w:val="22"/>
        </w:rPr>
        <w:t> </w:t>
      </w:r>
    </w:p>
    <w:p w:rsidR="007D5D38" w:rsidRDefault="007D5D38" w:rsidP="007D5D38"/>
    <w:p w:rsidR="007D5D38" w:rsidRDefault="007D5D38" w:rsidP="007D5D38">
      <w:pPr>
        <w:pStyle w:val="xxxxxmsonormal"/>
        <w:spacing w:after="240"/>
        <w:rPr>
          <w:rFonts w:ascii="Calibri" w:hAnsi="Calibri" w:cs="Calibri"/>
          <w:color w:val="000000"/>
          <w:sz w:val="22"/>
          <w:szCs w:val="22"/>
        </w:rPr>
      </w:pPr>
      <w:r>
        <w:rPr>
          <w:rFonts w:ascii="Calibri" w:hAnsi="Calibri" w:cs="Calibri"/>
          <w:color w:val="000000"/>
          <w:sz w:val="21"/>
          <w:szCs w:val="21"/>
        </w:rPr>
        <w:br/>
      </w:r>
      <w:r>
        <w:rPr>
          <w:rFonts w:ascii="Calibri" w:hAnsi="Calibri" w:cs="Calibri"/>
          <w:color w:val="000000"/>
          <w:sz w:val="21"/>
          <w:szCs w:val="21"/>
        </w:rPr>
        <w:br/>
      </w:r>
      <w:r>
        <w:rPr>
          <w:rFonts w:ascii="Calibri" w:hAnsi="Calibri" w:cs="Calibri"/>
          <w:color w:val="000000"/>
          <w:sz w:val="21"/>
          <w:szCs w:val="21"/>
        </w:rPr>
        <w:br/>
        <w:t> </w:t>
      </w:r>
    </w:p>
    <w:p w:rsidR="007D5D38" w:rsidRDefault="007D5D38" w:rsidP="007D5D38">
      <w:pPr>
        <w:pStyle w:val="xxxxxmsonormal"/>
        <w:spacing w:after="160" w:line="254" w:lineRule="auto"/>
        <w:rPr>
          <w:rFonts w:ascii="Calibri" w:hAnsi="Calibri" w:cs="Calibri"/>
          <w:color w:val="000000"/>
          <w:sz w:val="22"/>
          <w:szCs w:val="22"/>
        </w:rPr>
      </w:pPr>
      <w:r>
        <w:rPr>
          <w:rFonts w:ascii="Calibri" w:hAnsi="Calibri" w:cs="Calibri"/>
          <w:color w:val="000000"/>
          <w:sz w:val="22"/>
          <w:szCs w:val="22"/>
        </w:rPr>
        <w:t> </w:t>
      </w:r>
    </w:p>
    <w:p w:rsidR="007D5D38" w:rsidRDefault="007D5D38" w:rsidP="007D5D38">
      <w:pPr>
        <w:spacing w:after="240"/>
      </w:pPr>
      <w:r>
        <w:br/>
      </w:r>
    </w:p>
    <w:p w:rsidR="007D5D38" w:rsidRDefault="007D5D38" w:rsidP="007D5D38">
      <w:pPr>
        <w:rPr>
          <w:vanish/>
        </w:rPr>
      </w:pPr>
    </w:p>
    <w:p w:rsidR="007D5D38" w:rsidRDefault="007D5D38" w:rsidP="007D5D38"/>
    <w:p w:rsidR="007D5D38" w:rsidRDefault="007D5D38" w:rsidP="007D5D38"/>
    <w:p w:rsidR="007D5D38" w:rsidRDefault="007D5D38" w:rsidP="004259F9"/>
    <w:sectPr w:rsidR="007D5D38" w:rsidSect="00C12657">
      <w:type w:val="continuous"/>
      <w:pgSz w:w="12240" w:h="15840"/>
      <w:pgMar w:top="1258" w:right="1843" w:bottom="929" w:left="1672" w:header="1200" w:footer="720" w:gutter="0"/>
      <w:cols w:space="720" w:equalWidth="0">
        <w:col w:w="872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62" w:rsidRDefault="00804162" w:rsidP="00BC12E9">
      <w:r>
        <w:separator/>
      </w:r>
    </w:p>
  </w:endnote>
  <w:endnote w:type="continuationSeparator" w:id="0">
    <w:p w:rsidR="00804162" w:rsidRDefault="00804162" w:rsidP="00BC1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62" w:rsidRDefault="00804162" w:rsidP="00BC12E9">
      <w:r>
        <w:separator/>
      </w:r>
    </w:p>
  </w:footnote>
  <w:footnote w:type="continuationSeparator" w:id="0">
    <w:p w:rsidR="00804162" w:rsidRDefault="00804162" w:rsidP="00BC1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826" w:rsidRDefault="00EC6556" w:rsidP="00220227">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362585">
      <w:rPr>
        <w:rStyle w:val="PageNumber"/>
        <w:noProof/>
      </w:rPr>
      <w:t>25</w:t>
    </w:r>
    <w:r>
      <w:rPr>
        <w:rStyle w:val="PageNumber"/>
      </w:rPr>
      <w:fldChar w:fldCharType="end"/>
    </w:r>
    <w:r>
      <w:rPr>
        <w:rStyle w:val="PageNumber"/>
      </w:rPr>
      <w:t xml:space="preserve"> of </w:t>
    </w:r>
    <w:r w:rsidR="001C0DC4">
      <w:rPr>
        <w:rStyle w:val="PageNumber"/>
      </w:rPr>
      <w:t>2</w:t>
    </w:r>
    <w:r w:rsidR="00260E5A">
      <w:rPr>
        <w:rStyle w:val="PageNumber"/>
      </w:rPr>
      <w:t>6</w:t>
    </w:r>
    <w:r>
      <w:rPr>
        <w:rStyle w:val="PageNumber"/>
      </w:rPr>
      <w:tab/>
    </w:r>
    <w:r>
      <w:rPr>
        <w:rStyle w:val="PageNumber"/>
      </w:rPr>
      <w:tab/>
      <w:t>Covid-19 Update</w:t>
    </w:r>
  </w:p>
  <w:p w:rsidR="00220227" w:rsidRPr="00C12657" w:rsidRDefault="00EC6556" w:rsidP="00220227">
    <w:pPr>
      <w:pStyle w:val="Header"/>
    </w:pPr>
    <w:r>
      <w:rPr>
        <w:rStyle w:val="PageNumber"/>
      </w:rPr>
      <w:tab/>
    </w:r>
    <w:r>
      <w:rPr>
        <w:rStyle w:val="PageNumber"/>
      </w:rPr>
      <w:tab/>
    </w:r>
    <w:r w:rsidR="00BC12E9">
      <w:rPr>
        <w:rStyle w:val="PageNumber"/>
      </w:rPr>
      <w:t>3.2</w:t>
    </w:r>
    <w:r>
      <w:rPr>
        <w:rStyle w:val="PageNumber"/>
      </w:rPr>
      <w:t>2.2021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32B9"/>
    <w:multiLevelType w:val="hybridMultilevel"/>
    <w:tmpl w:val="E9480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C0903"/>
    <w:multiLevelType w:val="hybridMultilevel"/>
    <w:tmpl w:val="7704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222A6"/>
    <w:multiLevelType w:val="hybridMultilevel"/>
    <w:tmpl w:val="E6062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93151"/>
    <w:multiLevelType w:val="hybridMultilevel"/>
    <w:tmpl w:val="5A18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F7E05"/>
    <w:multiLevelType w:val="hybridMultilevel"/>
    <w:tmpl w:val="B5344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FE86BA7"/>
    <w:multiLevelType w:val="multilevel"/>
    <w:tmpl w:val="4FFE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6A42F7"/>
    <w:multiLevelType w:val="multilevel"/>
    <w:tmpl w:val="6F98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A06171"/>
    <w:multiLevelType w:val="hybridMultilevel"/>
    <w:tmpl w:val="D92E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A76D6A"/>
    <w:multiLevelType w:val="hybridMultilevel"/>
    <w:tmpl w:val="73AA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A3761D3"/>
    <w:multiLevelType w:val="hybridMultilevel"/>
    <w:tmpl w:val="4560F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7"/>
  </w:num>
  <w:num w:numId="4">
    <w:abstractNumId w:val="0"/>
  </w:num>
  <w:num w:numId="5">
    <w:abstractNumId w:val="2"/>
  </w:num>
  <w:num w:numId="6">
    <w:abstractNumId w:val="1"/>
  </w:num>
  <w:num w:numId="7">
    <w:abstractNumId w:val="3"/>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2E9"/>
    <w:rsid w:val="000C7542"/>
    <w:rsid w:val="001C0DC4"/>
    <w:rsid w:val="00206006"/>
    <w:rsid w:val="00260E5A"/>
    <w:rsid w:val="002B4EDA"/>
    <w:rsid w:val="00362585"/>
    <w:rsid w:val="003D5AB6"/>
    <w:rsid w:val="004259F9"/>
    <w:rsid w:val="00662175"/>
    <w:rsid w:val="007D5D38"/>
    <w:rsid w:val="00804162"/>
    <w:rsid w:val="008B51F1"/>
    <w:rsid w:val="00AA094C"/>
    <w:rsid w:val="00BC12E9"/>
    <w:rsid w:val="00C1590F"/>
    <w:rsid w:val="00C44C63"/>
    <w:rsid w:val="00E42986"/>
    <w:rsid w:val="00EC6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09E2FF87-80C3-4E50-8AE4-D4B8BDAF5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2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BC12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rsid w:val="00BC12E9"/>
    <w:pPr>
      <w:tabs>
        <w:tab w:val="center" w:pos="4320"/>
        <w:tab w:val="right" w:pos="8640"/>
      </w:tabs>
    </w:pPr>
  </w:style>
  <w:style w:type="character" w:customStyle="1" w:styleId="HeaderChar">
    <w:name w:val="Header Char"/>
    <w:basedOn w:val="DefaultParagraphFont"/>
    <w:link w:val="Header"/>
    <w:rsid w:val="00BC12E9"/>
    <w:rPr>
      <w:rFonts w:ascii="Times New Roman" w:eastAsia="Times New Roman" w:hAnsi="Times New Roman" w:cs="Times New Roman"/>
      <w:sz w:val="24"/>
      <w:szCs w:val="24"/>
    </w:rPr>
  </w:style>
  <w:style w:type="character" w:styleId="PageNumber">
    <w:name w:val="page number"/>
    <w:basedOn w:val="DefaultParagraphFont"/>
    <w:rsid w:val="00BC12E9"/>
  </w:style>
  <w:style w:type="character" w:styleId="Hyperlink">
    <w:name w:val="Hyperlink"/>
    <w:uiPriority w:val="99"/>
    <w:unhideWhenUsed/>
    <w:rsid w:val="00BC12E9"/>
    <w:rPr>
      <w:color w:val="0563C1"/>
      <w:u w:val="single"/>
    </w:rPr>
  </w:style>
  <w:style w:type="paragraph" w:styleId="NoSpacing">
    <w:name w:val="No Spacing"/>
    <w:uiPriority w:val="1"/>
    <w:qFormat/>
    <w:rsid w:val="00BC12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12E9"/>
    <w:pPr>
      <w:tabs>
        <w:tab w:val="center" w:pos="4680"/>
        <w:tab w:val="right" w:pos="9360"/>
      </w:tabs>
    </w:pPr>
  </w:style>
  <w:style w:type="character" w:customStyle="1" w:styleId="FooterChar">
    <w:name w:val="Footer Char"/>
    <w:basedOn w:val="DefaultParagraphFont"/>
    <w:link w:val="Footer"/>
    <w:uiPriority w:val="99"/>
    <w:rsid w:val="00BC12E9"/>
    <w:rPr>
      <w:rFonts w:ascii="Times New Roman" w:eastAsia="Times New Roman" w:hAnsi="Times New Roman" w:cs="Times New Roman"/>
      <w:sz w:val="24"/>
      <w:szCs w:val="24"/>
    </w:rPr>
  </w:style>
  <w:style w:type="paragraph" w:styleId="ListParagraph">
    <w:name w:val="List Paragraph"/>
    <w:basedOn w:val="Normal"/>
    <w:uiPriority w:val="34"/>
    <w:qFormat/>
    <w:rsid w:val="00206006"/>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AA094C"/>
    <w:pPr>
      <w:widowControl/>
      <w:autoSpaceDE/>
      <w:autoSpaceDN/>
      <w:adjustRightInd/>
      <w:spacing w:before="100" w:beforeAutospacing="1" w:after="100" w:afterAutospacing="1"/>
    </w:pPr>
  </w:style>
  <w:style w:type="character" w:styleId="Strong">
    <w:name w:val="Strong"/>
    <w:basedOn w:val="DefaultParagraphFont"/>
    <w:uiPriority w:val="22"/>
    <w:qFormat/>
    <w:rsid w:val="00AA094C"/>
    <w:rPr>
      <w:b/>
      <w:bCs/>
    </w:rPr>
  </w:style>
  <w:style w:type="paragraph" w:customStyle="1" w:styleId="xxxxxmsonormal">
    <w:name w:val="x_x_x_x_x_msonormal"/>
    <w:basedOn w:val="Normal"/>
    <w:rsid w:val="007D5D38"/>
    <w:pPr>
      <w:widowControl/>
      <w:autoSpaceDE/>
      <w:autoSpaceDN/>
      <w:adjustRightInd/>
    </w:pPr>
    <w:rPr>
      <w:rFonts w:eastAsiaTheme="minorHAnsi"/>
    </w:rPr>
  </w:style>
  <w:style w:type="paragraph" w:customStyle="1" w:styleId="xxxmsonormal">
    <w:name w:val="x_x_x_msonormal"/>
    <w:basedOn w:val="Normal"/>
    <w:rsid w:val="007D5D38"/>
    <w:pPr>
      <w:widowControl/>
      <w:autoSpaceDE/>
      <w:autoSpaceDN/>
      <w:adjustRightInd/>
    </w:pPr>
    <w:rPr>
      <w:rFonts w:eastAsiaTheme="minorHAnsi"/>
    </w:rPr>
  </w:style>
  <w:style w:type="paragraph" w:customStyle="1" w:styleId="xxxxxxmsonormal">
    <w:name w:val="x_x_x_x_x_x_msonormal"/>
    <w:basedOn w:val="Normal"/>
    <w:rsid w:val="001C0DC4"/>
    <w:pPr>
      <w:widowControl/>
      <w:autoSpaceDE/>
      <w:autoSpaceDN/>
      <w:adjustRightInd/>
    </w:pPr>
    <w:rPr>
      <w:rFonts w:eastAsiaTheme="minorHAnsi"/>
    </w:rPr>
  </w:style>
  <w:style w:type="paragraph" w:customStyle="1" w:styleId="xxxxmsonormal">
    <w:name w:val="x_x_x_x_msonormal"/>
    <w:basedOn w:val="Normal"/>
    <w:rsid w:val="001C0DC4"/>
    <w:pPr>
      <w:widowControl/>
      <w:autoSpaceDE/>
      <w:autoSpaceDN/>
      <w:adjustRightInd/>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705945">
      <w:bodyDiv w:val="1"/>
      <w:marLeft w:val="0"/>
      <w:marRight w:val="0"/>
      <w:marTop w:val="0"/>
      <w:marBottom w:val="0"/>
      <w:divBdr>
        <w:top w:val="none" w:sz="0" w:space="0" w:color="auto"/>
        <w:left w:val="none" w:sz="0" w:space="0" w:color="auto"/>
        <w:bottom w:val="none" w:sz="0" w:space="0" w:color="auto"/>
        <w:right w:val="none" w:sz="0" w:space="0" w:color="auto"/>
      </w:divBdr>
    </w:div>
    <w:div w:id="171003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el:211" TargetMode="External"/><Relationship Id="rId18" Type="http://schemas.openxmlformats.org/officeDocument/2006/relationships/hyperlink" Target="https://www.cdc.gov/coronavirus/2019-ncov/transmission/variant-cases.html" TargetMode="External"/><Relationship Id="rId26" Type="http://schemas.openxmlformats.org/officeDocument/2006/relationships/hyperlink" Target="https://outercape.org/2020/12/23/outer-cape-health-services-to-offer-covid-19-asymptomatic-testing-beginning-december-23/" TargetMode="External"/><Relationship Id="rId39" Type="http://schemas.openxmlformats.org/officeDocument/2006/relationships/image" Target="cid:e89a391b-9999-4872-8926-75354e07987e" TargetMode="External"/><Relationship Id="rId21" Type="http://schemas.openxmlformats.org/officeDocument/2006/relationships/image" Target="media/image3.png"/><Relationship Id="rId34" Type="http://schemas.openxmlformats.org/officeDocument/2006/relationships/image" Target="cid:3ac7aa0d-4f6a-4a43-930b-acbedf8382ab" TargetMode="External"/><Relationship Id="rId42" Type="http://schemas.openxmlformats.org/officeDocument/2006/relationships/hyperlink" Target="https://www.capecodhealth.org/medical-services/infectious-disease/coronavirus/covid-19-testing-process/" TargetMode="External"/><Relationship Id="rId47" Type="http://schemas.openxmlformats.org/officeDocument/2006/relationships/image" Target="cid:0c32853c-ecbc-4586-9e58-d75691ae48bf" TargetMode="External"/><Relationship Id="rId50" Type="http://schemas.openxmlformats.org/officeDocument/2006/relationships/image" Target="cid:dd1e86fe-00ba-4f89-8b3e-582f02b766fc" TargetMode="External"/><Relationship Id="rId55" Type="http://schemas.openxmlformats.org/officeDocument/2006/relationships/hyperlink" Target="https://www.cdc.gov/coronavirus/2019-ncov/transmission/variant-cases.html" TargetMode="External"/><Relationship Id="rId7" Type="http://schemas.openxmlformats.org/officeDocument/2006/relationships/image" Target="media/image1.png"/><Relationship Id="rId12" Type="http://schemas.openxmlformats.org/officeDocument/2006/relationships/hyperlink" Target="https://vaxfinder.mass.gov/" TargetMode="External"/><Relationship Id="rId17" Type="http://schemas.openxmlformats.org/officeDocument/2006/relationships/hyperlink" Target="tel:+1-508-905-2888" TargetMode="External"/><Relationship Id="rId25" Type="http://schemas.openxmlformats.org/officeDocument/2006/relationships/hyperlink" Target="https://www.capecodhealth.org/medical-services/infectious-disease/coronavirus/covid-19-testing-process/"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ass.gov/resource/reopening-sector-specific-protocols-and-best-practices" TargetMode="External"/><Relationship Id="rId20" Type="http://schemas.openxmlformats.org/officeDocument/2006/relationships/image" Target="cid:0311776b-0782-4765-81b4-2e016040af06" TargetMode="External"/><Relationship Id="rId29" Type="http://schemas.openxmlformats.org/officeDocument/2006/relationships/image" Target="media/image6.png"/><Relationship Id="rId41" Type="http://schemas.openxmlformats.org/officeDocument/2006/relationships/image" Target="cid:f064ef2d-a049-4a7e-9b54-474328a178f5" TargetMode="External"/><Relationship Id="rId54" Type="http://schemas.openxmlformats.org/officeDocument/2006/relationships/image" Target="cid:92779230-b753-4fae-b96f-c1dbd3b748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accinesignup.mass.gov/" TargetMode="External"/><Relationship Id="rId24" Type="http://schemas.openxmlformats.org/officeDocument/2006/relationships/image" Target="cid:f9cccb4e-9e82-4d54-8ac5-ca668a61d484" TargetMode="External"/><Relationship Id="rId32" Type="http://schemas.openxmlformats.org/officeDocument/2006/relationships/hyperlink" Target="https://www.mass.gov/info-details/covid-19-vaccinations-for-certain-workers" TargetMode="External"/><Relationship Id="rId37" Type="http://schemas.openxmlformats.org/officeDocument/2006/relationships/image" Target="cid:f92834c5-0689-4990-9472-2752eb1b4f60" TargetMode="External"/><Relationship Id="rId40" Type="http://schemas.openxmlformats.org/officeDocument/2006/relationships/image" Target="media/image10.png"/><Relationship Id="rId45" Type="http://schemas.openxmlformats.org/officeDocument/2006/relationships/image" Target="cid:102077b0-12ae-48dd-9eae-6fe253653a8f" TargetMode="External"/><Relationship Id="rId53" Type="http://schemas.openxmlformats.org/officeDocument/2006/relationships/image" Target="media/image14.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arnstablecountyhealth.org/vaccine-information" TargetMode="External"/><Relationship Id="rId23" Type="http://schemas.openxmlformats.org/officeDocument/2006/relationships/image" Target="media/image4.png"/><Relationship Id="rId28" Type="http://schemas.openxmlformats.org/officeDocument/2006/relationships/image" Target="cid:34baf739-9d78-4743-b792-e61e6dfa4be8"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hyperlink" Target="mailto:vharik@barnstablecounty.org" TargetMode="External"/><Relationship Id="rId10" Type="http://schemas.openxmlformats.org/officeDocument/2006/relationships/hyperlink" Target="https://www.mass.gov/info-details/covid-19-vaccinations-for-certain-workers" TargetMode="External"/><Relationship Id="rId19" Type="http://schemas.openxmlformats.org/officeDocument/2006/relationships/image" Target="media/image2.png"/><Relationship Id="rId31" Type="http://schemas.openxmlformats.org/officeDocument/2006/relationships/hyperlink" Target="https://www.mass.gov/info-details/covid-19-vaccinations-for-certain-workers" TargetMode="External"/><Relationship Id="rId44" Type="http://schemas.openxmlformats.org/officeDocument/2006/relationships/image" Target="media/image11.png"/><Relationship Id="rId52" Type="http://schemas.openxmlformats.org/officeDocument/2006/relationships/hyperlink" Target="https://www.cic-health.com/vaccines-location"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tel:8772116277" TargetMode="External"/><Relationship Id="rId22" Type="http://schemas.openxmlformats.org/officeDocument/2006/relationships/image" Target="cid:f8a328ab-98f0-4634-9ebe-8879733ba389" TargetMode="External"/><Relationship Id="rId27" Type="http://schemas.openxmlformats.org/officeDocument/2006/relationships/image" Target="media/image5.png"/><Relationship Id="rId30" Type="http://schemas.openxmlformats.org/officeDocument/2006/relationships/image" Target="cid:c5e9c2e0-56f4-467b-9c29-f34e72c1a731" TargetMode="External"/><Relationship Id="rId35" Type="http://schemas.openxmlformats.org/officeDocument/2006/relationships/hyperlink" Target="https://www.cdc.gov/coronavirus/2019-ncov/transmission/variant-cases.html" TargetMode="External"/><Relationship Id="rId43" Type="http://schemas.openxmlformats.org/officeDocument/2006/relationships/hyperlink" Target="https://outercape.org/2020/12/23/outer-cape-health-services-to-offer-covid-19-asymptomatic-testing-beginning-december-23/" TargetMode="External"/><Relationship Id="rId48" Type="http://schemas.openxmlformats.org/officeDocument/2006/relationships/hyperlink" Target="https://www.mass.gov/info-details/covid-19-vaccinations-for-certain-workers" TargetMode="External"/><Relationship Id="rId56" Type="http://schemas.openxmlformats.org/officeDocument/2006/relationships/hyperlink" Target="https://www.statnews.com/2020/12/21/looming-questions-new-variant-coronavirus/?utm_source=STAT+Newsletters&amp;utm_campaign=1a74bda2ca-MR_COPY_01&amp;utm_medium=email&amp;utm_term=0_8cab1d7961-1a74bda2ca-150158417" TargetMode="External"/><Relationship Id="rId8" Type="http://schemas.openxmlformats.org/officeDocument/2006/relationships/oleObject" Target="embeddings/oleObject1.bin"/><Relationship Id="rId51" Type="http://schemas.openxmlformats.org/officeDocument/2006/relationships/hyperlink" Target="https://www.cic-health.com/vaccines-locatio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26</Pages>
  <Words>6505</Words>
  <Characters>37083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Tenaglia</dc:creator>
  <cp:keywords/>
  <dc:description/>
  <cp:lastModifiedBy>Kathleen Tenaglia</cp:lastModifiedBy>
  <cp:revision>10</cp:revision>
  <dcterms:created xsi:type="dcterms:W3CDTF">2021-03-22T12:49:00Z</dcterms:created>
  <dcterms:modified xsi:type="dcterms:W3CDTF">2021-03-22T15:28:00Z</dcterms:modified>
</cp:coreProperties>
</file>