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6E0" w:rsidRDefault="00D85F94">
      <w:pPr>
        <w:jc w:val="center"/>
        <w:outlineLvl w:val="0"/>
        <w:rPr>
          <w:b/>
          <w:color w:val="000080"/>
          <w:sz w:val="40"/>
          <w:szCs w:val="40"/>
        </w:rPr>
      </w:pPr>
      <w:bookmarkStart w:id="0" w:name="_GoBack"/>
      <w:bookmarkEnd w:id="0"/>
      <w:r>
        <w:rPr>
          <w:noProof/>
        </w:rPr>
        <w:drawing>
          <wp:anchor distT="36576" distB="36576" distL="36576" distR="36576" simplePos="0" relativeHeight="251658240" behindDoc="0" locked="1" layoutInCell="1" allowOverlap="1">
            <wp:simplePos x="0" y="0"/>
            <wp:positionH relativeFrom="column">
              <wp:posOffset>6172200</wp:posOffset>
            </wp:positionH>
            <wp:positionV relativeFrom="paragraph">
              <wp:posOffset>-26035</wp:posOffset>
            </wp:positionV>
            <wp:extent cx="978535" cy="686435"/>
            <wp:effectExtent l="19050" t="19050" r="12065" b="184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8535" cy="686435"/>
                    </a:xfrm>
                    <a:prstGeom prst="rect">
                      <a:avLst/>
                    </a:prstGeom>
                    <a:noFill/>
                    <a:ln w="9525" algn="in">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simplePos x="0" y="0"/>
            <wp:positionH relativeFrom="column">
              <wp:posOffset>228600</wp:posOffset>
            </wp:positionH>
            <wp:positionV relativeFrom="page">
              <wp:posOffset>411480</wp:posOffset>
            </wp:positionV>
            <wp:extent cx="722630" cy="73215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63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5D66E0">
        <w:rPr>
          <w:b/>
          <w:color w:val="000080"/>
          <w:sz w:val="40"/>
          <w:szCs w:val="40"/>
        </w:rPr>
        <w:t>NOTICE of New Federal Pool Requirements</w:t>
      </w:r>
    </w:p>
    <w:p w:rsidR="005D66E0" w:rsidRDefault="005D66E0">
      <w:pPr>
        <w:pBdr>
          <w:bottom w:val="single" w:sz="12" w:space="7" w:color="auto"/>
        </w:pBdr>
        <w:jc w:val="center"/>
        <w:rPr>
          <w:b/>
          <w:sz w:val="18"/>
          <w:szCs w:val="18"/>
        </w:rPr>
      </w:pPr>
      <w:r>
        <w:rPr>
          <w:b/>
          <w:sz w:val="36"/>
          <w:szCs w:val="36"/>
        </w:rPr>
        <w:t>The Virginia Graeme Baker Pool &amp; Spa Safety Act</w:t>
      </w:r>
      <w:r>
        <w:rPr>
          <w:b/>
          <w:sz w:val="36"/>
          <w:szCs w:val="36"/>
        </w:rPr>
        <w:br/>
      </w:r>
    </w:p>
    <w:p w:rsidR="005D66E0" w:rsidRDefault="005D66E0">
      <w:pPr>
        <w:rPr>
          <w:b/>
          <w:i/>
          <w:color w:val="0000FF"/>
          <w:sz w:val="18"/>
          <w:szCs w:val="18"/>
        </w:rPr>
      </w:pPr>
    </w:p>
    <w:p w:rsidR="005D66E0" w:rsidRPr="000A3824" w:rsidRDefault="000A3824" w:rsidP="000A3824">
      <w:pPr>
        <w:ind w:left="360"/>
        <w:rPr>
          <w:b/>
          <w:i/>
          <w:sz w:val="22"/>
          <w:szCs w:val="22"/>
        </w:rPr>
      </w:pPr>
      <w:r>
        <w:rPr>
          <w:b/>
          <w:i/>
          <w:sz w:val="22"/>
          <w:szCs w:val="22"/>
        </w:rPr>
        <w:t xml:space="preserve">                           </w:t>
      </w:r>
      <w:r w:rsidR="005D66E0" w:rsidRPr="000A3824">
        <w:rPr>
          <w:b/>
          <w:i/>
          <w:sz w:val="22"/>
          <w:szCs w:val="22"/>
        </w:rPr>
        <w:t>The provisions of the new law are designed to prevent serious injuries and fatalities</w:t>
      </w:r>
    </w:p>
    <w:p w:rsidR="005D66E0" w:rsidRPr="000A3824" w:rsidRDefault="000A3824" w:rsidP="000A3824">
      <w:pPr>
        <w:ind w:left="360"/>
        <w:rPr>
          <w:b/>
          <w:i/>
          <w:sz w:val="22"/>
          <w:szCs w:val="22"/>
        </w:rPr>
      </w:pPr>
      <w:r>
        <w:rPr>
          <w:b/>
          <w:i/>
          <w:sz w:val="22"/>
          <w:szCs w:val="22"/>
        </w:rPr>
        <w:t xml:space="preserve">                                                    </w:t>
      </w:r>
      <w:r w:rsidR="005D66E0" w:rsidRPr="000A3824">
        <w:rPr>
          <w:b/>
          <w:i/>
          <w:sz w:val="22"/>
          <w:szCs w:val="22"/>
        </w:rPr>
        <w:t>associated with suction entrapment in pools and spas.</w:t>
      </w:r>
    </w:p>
    <w:p w:rsidR="005D66E0" w:rsidRDefault="005D66E0">
      <w:pPr>
        <w:rPr>
          <w:b/>
          <w:i/>
          <w:sz w:val="18"/>
          <w:szCs w:val="18"/>
        </w:rPr>
      </w:pPr>
    </w:p>
    <w:p w:rsidR="005D66E0" w:rsidRDefault="005D66E0">
      <w:pPr>
        <w:ind w:left="360"/>
        <w:outlineLvl w:val="0"/>
        <w:rPr>
          <w:b/>
          <w:color w:val="FF0000"/>
          <w:sz w:val="18"/>
          <w:szCs w:val="18"/>
        </w:rPr>
      </w:pPr>
      <w:r>
        <w:rPr>
          <w:b/>
          <w:color w:val="FF0000"/>
          <w:sz w:val="28"/>
          <w:szCs w:val="28"/>
        </w:rPr>
        <w:t>By December 19, 2008, in accordance with the new federal law</w:t>
      </w:r>
    </w:p>
    <w:p w:rsidR="005D66E0" w:rsidRDefault="005D66E0">
      <w:pPr>
        <w:rPr>
          <w:rFonts w:ascii="Arial" w:hAnsi="Arial"/>
          <w:b/>
          <w:sz w:val="18"/>
          <w:szCs w:val="18"/>
        </w:rPr>
      </w:pPr>
    </w:p>
    <w:p w:rsidR="005D66E0" w:rsidRDefault="005D66E0">
      <w:pPr>
        <w:numPr>
          <w:ilvl w:val="0"/>
          <w:numId w:val="25"/>
        </w:numPr>
        <w:rPr>
          <w:rFonts w:ascii="Arial" w:hAnsi="Arial"/>
          <w:sz w:val="16"/>
          <w:szCs w:val="16"/>
        </w:rPr>
      </w:pPr>
      <w:r>
        <w:rPr>
          <w:rFonts w:ascii="Arial" w:hAnsi="Arial"/>
          <w:b/>
          <w:color w:val="FF0000"/>
        </w:rPr>
        <w:t>ALL</w:t>
      </w:r>
      <w:r>
        <w:rPr>
          <w:rFonts w:ascii="Arial" w:hAnsi="Arial"/>
          <w:b/>
        </w:rPr>
        <w:t xml:space="preserve"> </w:t>
      </w:r>
      <w:r>
        <w:rPr>
          <w:rFonts w:ascii="Arial" w:hAnsi="Arial"/>
        </w:rPr>
        <w:t>public, semi-public and special purpose swimming pool drain/grate covers</w:t>
      </w:r>
      <w:r>
        <w:rPr>
          <w:rFonts w:ascii="Arial" w:hAnsi="Arial"/>
          <w:b/>
        </w:rPr>
        <w:t xml:space="preserve"> </w:t>
      </w:r>
      <w:r>
        <w:rPr>
          <w:rFonts w:ascii="Arial" w:hAnsi="Arial"/>
          <w:b/>
          <w:color w:val="FF0000"/>
        </w:rPr>
        <w:t>MUST</w:t>
      </w:r>
      <w:r>
        <w:rPr>
          <w:rFonts w:ascii="Arial" w:hAnsi="Arial"/>
          <w:b/>
        </w:rPr>
        <w:t xml:space="preserve"> </w:t>
      </w:r>
      <w:r>
        <w:rPr>
          <w:rFonts w:ascii="Arial" w:hAnsi="Arial"/>
        </w:rPr>
        <w:t>conform to the American National Standard ASME A112.19.8 – 2007 Suction Fittings for Use in Swimming Pools, Wading Pools, Spas, and Hot Tubs, or any successor standard, published by the American Society of Mechanical Engineers (ASME);</w:t>
      </w:r>
      <w:r>
        <w:rPr>
          <w:rFonts w:ascii="Arial" w:hAnsi="Arial"/>
          <w:sz w:val="16"/>
          <w:szCs w:val="16"/>
        </w:rPr>
        <w:br/>
      </w:r>
    </w:p>
    <w:p w:rsidR="005D66E0" w:rsidRDefault="005D66E0">
      <w:pPr>
        <w:numPr>
          <w:ilvl w:val="0"/>
          <w:numId w:val="25"/>
        </w:numPr>
        <w:rPr>
          <w:rFonts w:ascii="Arial" w:hAnsi="Arial"/>
          <w:sz w:val="16"/>
          <w:szCs w:val="16"/>
        </w:rPr>
      </w:pPr>
      <w:r>
        <w:rPr>
          <w:rFonts w:ascii="Arial" w:hAnsi="Arial"/>
          <w:b/>
          <w:color w:val="FF0000"/>
        </w:rPr>
        <w:t>EVERY</w:t>
      </w:r>
      <w:r>
        <w:rPr>
          <w:rFonts w:ascii="Arial" w:hAnsi="Arial"/>
        </w:rPr>
        <w:t xml:space="preserve"> public, semi-public and special purpose swimming pool with a single main drain, other than an unblockable drain (interpreted by the C</w:t>
      </w:r>
      <w:r w:rsidR="001C6246">
        <w:rPr>
          <w:rFonts w:ascii="Arial" w:hAnsi="Arial"/>
        </w:rPr>
        <w:t xml:space="preserve">onsumer </w:t>
      </w:r>
      <w:r>
        <w:rPr>
          <w:rFonts w:ascii="Arial" w:hAnsi="Arial"/>
        </w:rPr>
        <w:t>P</w:t>
      </w:r>
      <w:r w:rsidR="001C6246">
        <w:rPr>
          <w:rFonts w:ascii="Arial" w:hAnsi="Arial"/>
        </w:rPr>
        <w:t xml:space="preserve">roduct </w:t>
      </w:r>
      <w:r>
        <w:rPr>
          <w:rFonts w:ascii="Arial" w:hAnsi="Arial"/>
        </w:rPr>
        <w:t>S</w:t>
      </w:r>
      <w:r w:rsidR="001C6246">
        <w:rPr>
          <w:rFonts w:ascii="Arial" w:hAnsi="Arial"/>
        </w:rPr>
        <w:t xml:space="preserve">afety </w:t>
      </w:r>
      <w:r>
        <w:rPr>
          <w:rFonts w:ascii="Arial" w:hAnsi="Arial"/>
        </w:rPr>
        <w:t>C</w:t>
      </w:r>
      <w:r w:rsidR="001C6246">
        <w:rPr>
          <w:rFonts w:ascii="Arial" w:hAnsi="Arial"/>
        </w:rPr>
        <w:t>ommission</w:t>
      </w:r>
      <w:r>
        <w:rPr>
          <w:rFonts w:ascii="Arial" w:hAnsi="Arial"/>
        </w:rPr>
        <w:t xml:space="preserve"> to have minimum dimensions of 18 inches by 23 inches or have a diagonal measurement of 29 inches or more), </w:t>
      </w:r>
      <w:r>
        <w:rPr>
          <w:rFonts w:ascii="Arial" w:hAnsi="Arial"/>
          <w:b/>
          <w:color w:val="FF0000"/>
        </w:rPr>
        <w:t>MUST</w:t>
      </w:r>
      <w:r>
        <w:rPr>
          <w:rFonts w:ascii="Arial" w:hAnsi="Arial"/>
        </w:rPr>
        <w:t xml:space="preserve"> be equipped with one or more additional systems or devices designed to prevent suction entrapment. As outlined in the law these additional systems or devices may include a safety vacuum release system (SVRS), suction limiting vent system, gravity drainage system, automatic pump shut-off, or any other system determined by the CPSC to be equally effective in preventing suction entrapment; </w:t>
      </w:r>
      <w:r>
        <w:rPr>
          <w:rFonts w:ascii="Arial" w:hAnsi="Arial"/>
          <w:sz w:val="16"/>
          <w:szCs w:val="16"/>
        </w:rPr>
        <w:br/>
      </w:r>
    </w:p>
    <w:p w:rsidR="005D66E0" w:rsidRDefault="005D66E0">
      <w:pPr>
        <w:numPr>
          <w:ilvl w:val="0"/>
          <w:numId w:val="25"/>
        </w:numPr>
        <w:rPr>
          <w:rFonts w:ascii="Arial" w:hAnsi="Arial"/>
          <w:sz w:val="16"/>
          <w:szCs w:val="16"/>
        </w:rPr>
      </w:pPr>
      <w:r>
        <w:rPr>
          <w:rFonts w:ascii="Arial" w:hAnsi="Arial"/>
        </w:rPr>
        <w:t>If a public, semi-public or special purpose pool can not comply by December 19, 2008, the CPSC requires that the pool or special purpose pool shut down until the proper covers are installed and, when applicable, an additional suction entrapment prevention device or system is installed as outlined in the law; and</w:t>
      </w:r>
      <w:r>
        <w:rPr>
          <w:rFonts w:ascii="Arial" w:hAnsi="Arial"/>
          <w:sz w:val="16"/>
          <w:szCs w:val="16"/>
        </w:rPr>
        <w:br/>
      </w:r>
    </w:p>
    <w:p w:rsidR="005D66E0" w:rsidRDefault="005D66E0" w:rsidP="000A3824">
      <w:pPr>
        <w:numPr>
          <w:ilvl w:val="0"/>
          <w:numId w:val="25"/>
        </w:numPr>
        <w:rPr>
          <w:b/>
          <w:i/>
          <w:color w:val="0000FF"/>
          <w:sz w:val="16"/>
          <w:szCs w:val="16"/>
        </w:rPr>
      </w:pPr>
      <w:r>
        <w:rPr>
          <w:rFonts w:ascii="Arial" w:hAnsi="Arial"/>
        </w:rPr>
        <w:t>Non-compliance with these federal provisions may result in the imposition of civil or criminal penalties under sections 20 or 21 of t</w:t>
      </w:r>
      <w:r w:rsidR="000A3824">
        <w:rPr>
          <w:rFonts w:ascii="Arial" w:hAnsi="Arial"/>
        </w:rPr>
        <w:t>he Consumer Product Safety Act.</w:t>
      </w:r>
      <w:r>
        <w:rPr>
          <w:rFonts w:ascii="Arial" w:hAnsi="Arial"/>
        </w:rPr>
        <w:br/>
      </w:r>
    </w:p>
    <w:p w:rsidR="000A3824" w:rsidRDefault="000A3824" w:rsidP="000A3824">
      <w:pPr>
        <w:ind w:left="360"/>
        <w:jc w:val="center"/>
        <w:rPr>
          <w:b/>
          <w:color w:val="0000FF"/>
          <w:sz w:val="16"/>
          <w:szCs w:val="16"/>
        </w:rPr>
      </w:pPr>
      <w:r w:rsidRPr="000A3824">
        <w:rPr>
          <w:b/>
          <w:color w:val="FF0000"/>
          <w:sz w:val="22"/>
          <w:szCs w:val="22"/>
        </w:rPr>
        <w:t>*   *   *   *   *   *</w:t>
      </w:r>
      <w:r w:rsidRPr="000A3824">
        <w:rPr>
          <w:b/>
          <w:sz w:val="22"/>
          <w:szCs w:val="22"/>
        </w:rPr>
        <w:t xml:space="preserve">         </w:t>
      </w:r>
      <w:r w:rsidR="00E24241">
        <w:rPr>
          <w:b/>
          <w:sz w:val="22"/>
          <w:szCs w:val="22"/>
        </w:rPr>
        <w:t xml:space="preserve">     </w:t>
      </w:r>
      <w:r w:rsidRPr="000A3824">
        <w:rPr>
          <w:b/>
          <w:sz w:val="22"/>
          <w:szCs w:val="22"/>
        </w:rPr>
        <w:t xml:space="preserve"> </w:t>
      </w:r>
      <w:r w:rsidRPr="000A3824">
        <w:rPr>
          <w:b/>
          <w:color w:val="0000FF"/>
          <w:sz w:val="22"/>
          <w:szCs w:val="22"/>
        </w:rPr>
        <w:t>*   *   *   *   *   *</w:t>
      </w:r>
      <w:r w:rsidRPr="000A3824">
        <w:rPr>
          <w:b/>
          <w:sz w:val="22"/>
          <w:szCs w:val="22"/>
        </w:rPr>
        <w:t xml:space="preserve">        </w:t>
      </w:r>
      <w:r w:rsidR="00E24241">
        <w:rPr>
          <w:b/>
          <w:sz w:val="22"/>
          <w:szCs w:val="22"/>
        </w:rPr>
        <w:t xml:space="preserve">     </w:t>
      </w:r>
      <w:r w:rsidRPr="000A3824">
        <w:rPr>
          <w:b/>
          <w:sz w:val="22"/>
          <w:szCs w:val="22"/>
        </w:rPr>
        <w:t xml:space="preserve">  </w:t>
      </w:r>
      <w:r w:rsidRPr="000A3824">
        <w:rPr>
          <w:b/>
          <w:color w:val="FF0000"/>
          <w:sz w:val="22"/>
          <w:szCs w:val="22"/>
        </w:rPr>
        <w:t>*   *   *   *   *   *</w:t>
      </w:r>
      <w:r w:rsidRPr="000A3824">
        <w:rPr>
          <w:b/>
          <w:sz w:val="22"/>
          <w:szCs w:val="22"/>
        </w:rPr>
        <w:t xml:space="preserve">     </w:t>
      </w:r>
      <w:r w:rsidR="00E24241">
        <w:rPr>
          <w:b/>
          <w:sz w:val="22"/>
          <w:szCs w:val="22"/>
        </w:rPr>
        <w:t xml:space="preserve">     </w:t>
      </w:r>
      <w:r w:rsidRPr="000A3824">
        <w:rPr>
          <w:b/>
          <w:sz w:val="22"/>
          <w:szCs w:val="22"/>
        </w:rPr>
        <w:t xml:space="preserve">     </w:t>
      </w:r>
      <w:r w:rsidRPr="000A3824">
        <w:rPr>
          <w:b/>
          <w:color w:val="0000FF"/>
          <w:sz w:val="22"/>
          <w:szCs w:val="22"/>
        </w:rPr>
        <w:t>*   *   *   *   *   *</w:t>
      </w:r>
    </w:p>
    <w:p w:rsidR="00E24241" w:rsidRPr="00E24241" w:rsidRDefault="00E24241" w:rsidP="000A3824">
      <w:pPr>
        <w:ind w:left="360"/>
        <w:jc w:val="center"/>
        <w:rPr>
          <w:b/>
          <w:color w:val="0000FF"/>
          <w:sz w:val="16"/>
          <w:szCs w:val="16"/>
        </w:rPr>
      </w:pPr>
    </w:p>
    <w:p w:rsidR="005D66E0" w:rsidRDefault="005D66E0">
      <w:pPr>
        <w:ind w:left="360"/>
        <w:outlineLvl w:val="0"/>
        <w:rPr>
          <w:b/>
          <w:color w:val="0000FF"/>
          <w:sz w:val="16"/>
          <w:szCs w:val="16"/>
        </w:rPr>
      </w:pPr>
      <w:r>
        <w:rPr>
          <w:b/>
          <w:color w:val="0000FF"/>
          <w:sz w:val="28"/>
          <w:szCs w:val="28"/>
        </w:rPr>
        <w:t>By December 19, 2008, in accordance with regulation 105 CMR 435.00</w:t>
      </w:r>
    </w:p>
    <w:p w:rsidR="005D66E0" w:rsidRDefault="005D66E0">
      <w:pPr>
        <w:rPr>
          <w:rFonts w:ascii="Arial" w:hAnsi="Arial"/>
          <w:b/>
          <w:sz w:val="16"/>
          <w:szCs w:val="16"/>
        </w:rPr>
      </w:pPr>
    </w:p>
    <w:p w:rsidR="005D66E0" w:rsidRDefault="005D66E0">
      <w:pPr>
        <w:numPr>
          <w:ilvl w:val="0"/>
          <w:numId w:val="27"/>
        </w:numPr>
        <w:rPr>
          <w:rFonts w:ascii="Arial" w:hAnsi="Arial"/>
          <w:sz w:val="16"/>
          <w:szCs w:val="16"/>
        </w:rPr>
      </w:pPr>
      <w:r>
        <w:rPr>
          <w:rFonts w:ascii="Arial" w:hAnsi="Arial"/>
        </w:rPr>
        <w:t>Anti-vortex drain covers must be replaced if they do not meet ASME A112.19.8 – 2007;</w:t>
      </w:r>
      <w:r>
        <w:rPr>
          <w:rFonts w:ascii="Arial" w:hAnsi="Arial"/>
          <w:sz w:val="16"/>
          <w:szCs w:val="16"/>
        </w:rPr>
        <w:br/>
      </w:r>
    </w:p>
    <w:p w:rsidR="005D66E0" w:rsidRDefault="005D66E0">
      <w:pPr>
        <w:numPr>
          <w:ilvl w:val="0"/>
          <w:numId w:val="29"/>
        </w:numPr>
        <w:rPr>
          <w:rFonts w:ascii="Arial" w:hAnsi="Arial"/>
          <w:sz w:val="16"/>
          <w:szCs w:val="16"/>
        </w:rPr>
      </w:pPr>
      <w:r>
        <w:rPr>
          <w:rFonts w:ascii="Arial" w:hAnsi="Arial"/>
        </w:rPr>
        <w:t xml:space="preserve">Gravity drainage systems are </w:t>
      </w:r>
      <w:r>
        <w:rPr>
          <w:rFonts w:ascii="Arial" w:hAnsi="Arial"/>
          <w:b/>
          <w:color w:val="0000FF"/>
        </w:rPr>
        <w:t>NOT</w:t>
      </w:r>
      <w:r>
        <w:rPr>
          <w:rFonts w:ascii="Arial" w:hAnsi="Arial"/>
        </w:rPr>
        <w:t xml:space="preserve"> exempt from the drain/grate cover provisions;</w:t>
      </w:r>
      <w:r>
        <w:rPr>
          <w:rFonts w:ascii="Arial" w:hAnsi="Arial"/>
        </w:rPr>
        <w:br/>
      </w:r>
    </w:p>
    <w:p w:rsidR="005D66E0" w:rsidRDefault="005D66E0">
      <w:pPr>
        <w:numPr>
          <w:ilvl w:val="0"/>
          <w:numId w:val="29"/>
        </w:numPr>
        <w:rPr>
          <w:rFonts w:ascii="Arial" w:hAnsi="Arial"/>
          <w:sz w:val="16"/>
          <w:szCs w:val="16"/>
        </w:rPr>
      </w:pPr>
      <w:r>
        <w:rPr>
          <w:rFonts w:ascii="Arial" w:hAnsi="Arial"/>
        </w:rPr>
        <w:t xml:space="preserve">Drain disablement is </w:t>
      </w:r>
      <w:r>
        <w:rPr>
          <w:rFonts w:ascii="Arial" w:hAnsi="Arial"/>
          <w:b/>
          <w:color w:val="0000FF"/>
        </w:rPr>
        <w:t xml:space="preserve">NOT </w:t>
      </w:r>
      <w:r>
        <w:rPr>
          <w:rFonts w:ascii="Arial" w:hAnsi="Arial"/>
          <w:color w:val="000000"/>
        </w:rPr>
        <w:t>an acceptable suction entrapment prevention option, pursuant to 105 CMR 435.00 Minimum Standards for Swimming Pool</w:t>
      </w:r>
      <w:r w:rsidR="00B56FD3">
        <w:rPr>
          <w:rFonts w:ascii="Arial" w:hAnsi="Arial"/>
          <w:color w:val="000000"/>
        </w:rPr>
        <w:t>s</w:t>
      </w:r>
      <w:r>
        <w:rPr>
          <w:rFonts w:ascii="Arial" w:hAnsi="Arial"/>
          <w:color w:val="000000"/>
        </w:rPr>
        <w:t>, State Sanitary Code, Chapter V;</w:t>
      </w:r>
      <w:r>
        <w:rPr>
          <w:rFonts w:ascii="Arial" w:hAnsi="Arial"/>
          <w:color w:val="000000"/>
        </w:rPr>
        <w:br/>
      </w:r>
    </w:p>
    <w:p w:rsidR="005D66E0" w:rsidRDefault="005D66E0">
      <w:pPr>
        <w:numPr>
          <w:ilvl w:val="0"/>
          <w:numId w:val="31"/>
        </w:numPr>
        <w:rPr>
          <w:rFonts w:ascii="Arial" w:hAnsi="Arial"/>
          <w:sz w:val="16"/>
          <w:szCs w:val="16"/>
        </w:rPr>
      </w:pPr>
      <w:r>
        <w:rPr>
          <w:rFonts w:ascii="Arial" w:hAnsi="Arial"/>
        </w:rPr>
        <w:t xml:space="preserve">An operating permit, pursuant to 105 CMR 435.21, should </w:t>
      </w:r>
      <w:r w:rsidRPr="00CF3153">
        <w:rPr>
          <w:rFonts w:ascii="Arial" w:hAnsi="Arial"/>
          <w:b/>
          <w:color w:val="0000FF"/>
        </w:rPr>
        <w:t>NOT</w:t>
      </w:r>
      <w:r>
        <w:rPr>
          <w:rFonts w:ascii="Arial" w:hAnsi="Arial"/>
        </w:rPr>
        <w:t xml:space="preserve"> be issued to any public, semi-public or special purpose pool that does not comply with the requirements;</w:t>
      </w:r>
      <w:r>
        <w:rPr>
          <w:rFonts w:ascii="Arial" w:hAnsi="Arial"/>
          <w:sz w:val="16"/>
          <w:szCs w:val="16"/>
        </w:rPr>
        <w:br/>
      </w:r>
    </w:p>
    <w:p w:rsidR="005D66E0" w:rsidRDefault="005D66E0">
      <w:pPr>
        <w:numPr>
          <w:ilvl w:val="0"/>
          <w:numId w:val="33"/>
        </w:numPr>
        <w:rPr>
          <w:rFonts w:ascii="Arial" w:hAnsi="Arial"/>
          <w:sz w:val="16"/>
          <w:szCs w:val="16"/>
        </w:rPr>
      </w:pPr>
      <w:r>
        <w:rPr>
          <w:rFonts w:ascii="Arial" w:hAnsi="Arial"/>
        </w:rPr>
        <w:t xml:space="preserve">Variances pursuant to 105 CMR 435.46 shall </w:t>
      </w:r>
      <w:r>
        <w:rPr>
          <w:rFonts w:ascii="Arial" w:hAnsi="Arial"/>
          <w:b/>
          <w:color w:val="0000FF"/>
        </w:rPr>
        <w:t>NOT</w:t>
      </w:r>
      <w:r w:rsidR="00E4648B">
        <w:rPr>
          <w:rFonts w:ascii="Arial" w:hAnsi="Arial"/>
        </w:rPr>
        <w:t xml:space="preserve"> be granted since the</w:t>
      </w:r>
      <w:r>
        <w:rPr>
          <w:rFonts w:ascii="Arial" w:hAnsi="Arial"/>
        </w:rPr>
        <w:t xml:space="preserve"> federal </w:t>
      </w:r>
      <w:r w:rsidR="00E4648B">
        <w:rPr>
          <w:rFonts w:ascii="Arial" w:hAnsi="Arial"/>
        </w:rPr>
        <w:t>law implies</w:t>
      </w:r>
      <w:r>
        <w:rPr>
          <w:rFonts w:ascii="Arial" w:hAnsi="Arial"/>
        </w:rPr>
        <w:t xml:space="preserve"> preempt</w:t>
      </w:r>
      <w:r w:rsidR="00E4648B">
        <w:rPr>
          <w:rFonts w:ascii="Arial" w:hAnsi="Arial"/>
        </w:rPr>
        <w:t>ion of</w:t>
      </w:r>
      <w:r>
        <w:rPr>
          <w:rFonts w:ascii="Arial" w:hAnsi="Arial"/>
        </w:rPr>
        <w:t xml:space="preserve"> state requirements;</w:t>
      </w:r>
      <w:r>
        <w:rPr>
          <w:rFonts w:ascii="Arial" w:hAnsi="Arial"/>
          <w:sz w:val="16"/>
          <w:szCs w:val="16"/>
        </w:rPr>
        <w:br/>
      </w:r>
    </w:p>
    <w:p w:rsidR="005D66E0" w:rsidRDefault="005D66E0">
      <w:pPr>
        <w:numPr>
          <w:ilvl w:val="0"/>
          <w:numId w:val="35"/>
        </w:numPr>
        <w:rPr>
          <w:rFonts w:ascii="Arial" w:hAnsi="Arial"/>
          <w:sz w:val="16"/>
          <w:szCs w:val="16"/>
        </w:rPr>
      </w:pPr>
      <w:r>
        <w:rPr>
          <w:rFonts w:ascii="Arial" w:hAnsi="Arial"/>
        </w:rPr>
        <w:t>Public, semi-public and special purpose swimming pools that are not open on December 19, 2008 are not required to be in compliance until the day that they re-open; and</w:t>
      </w:r>
      <w:r>
        <w:rPr>
          <w:rFonts w:ascii="Arial" w:hAnsi="Arial"/>
          <w:sz w:val="16"/>
          <w:szCs w:val="16"/>
        </w:rPr>
        <w:br/>
      </w:r>
    </w:p>
    <w:p w:rsidR="005D66E0" w:rsidRDefault="005D66E0">
      <w:pPr>
        <w:numPr>
          <w:ilvl w:val="0"/>
          <w:numId w:val="23"/>
        </w:numPr>
        <w:rPr>
          <w:rFonts w:ascii="Tahoma" w:hAnsi="Tahoma" w:cs="Tahoma"/>
          <w:b/>
          <w:bCs/>
          <w:color w:val="000080"/>
        </w:rPr>
      </w:pPr>
      <w:r>
        <w:rPr>
          <w:rFonts w:ascii="Arial" w:hAnsi="Arial"/>
        </w:rPr>
        <w:t>It is the pool operators</w:t>
      </w:r>
      <w:r w:rsidR="007A71FC">
        <w:rPr>
          <w:rFonts w:ascii="Arial" w:hAnsi="Arial"/>
        </w:rPr>
        <w:t>’</w:t>
      </w:r>
      <w:r>
        <w:rPr>
          <w:rFonts w:ascii="Arial" w:hAnsi="Arial"/>
          <w:color w:val="0000FF"/>
        </w:rPr>
        <w:t xml:space="preserve"> </w:t>
      </w:r>
      <w:r>
        <w:rPr>
          <w:rFonts w:ascii="Arial" w:hAnsi="Arial"/>
          <w:b/>
          <w:color w:val="0000FF"/>
        </w:rPr>
        <w:t>RESPONSIBILITY</w:t>
      </w:r>
      <w:r>
        <w:rPr>
          <w:rFonts w:ascii="Arial" w:hAnsi="Arial"/>
        </w:rPr>
        <w:t xml:space="preserve"> to provide written confirmation that pool drain/grate covers</w:t>
      </w:r>
      <w:r>
        <w:rPr>
          <w:rFonts w:ascii="Arial" w:hAnsi="Arial"/>
          <w:b/>
        </w:rPr>
        <w:t xml:space="preserve"> </w:t>
      </w:r>
      <w:r>
        <w:rPr>
          <w:rFonts w:ascii="Arial" w:hAnsi="Arial"/>
        </w:rPr>
        <w:t>conform to the American National Standard ASME A112.19.8 – 2007.</w:t>
      </w:r>
    </w:p>
    <w:p w:rsidR="005D66E0" w:rsidRDefault="005D66E0">
      <w:pPr>
        <w:ind w:left="360"/>
        <w:rPr>
          <w:rFonts w:ascii="Tahoma" w:hAnsi="Tahoma" w:cs="Tahoma"/>
          <w:b/>
          <w:bCs/>
          <w:color w:val="000080"/>
        </w:rPr>
      </w:pPr>
    </w:p>
    <w:p w:rsidR="005D66E0" w:rsidRDefault="005D66E0">
      <w:pPr>
        <w:widowControl w:val="0"/>
        <w:pBdr>
          <w:top w:val="single" w:sz="4" w:space="1" w:color="auto"/>
        </w:pBdr>
        <w:ind w:left="240"/>
        <w:rPr>
          <w:rFonts w:ascii="Tahoma" w:hAnsi="Tahoma" w:cs="Tahoma"/>
          <w:b/>
          <w:bCs/>
          <w:lang w:val="en"/>
        </w:rPr>
      </w:pPr>
      <w:r>
        <w:rPr>
          <w:rFonts w:ascii="Tahoma" w:hAnsi="Tahoma" w:cs="Tahoma"/>
          <w:sz w:val="20"/>
          <w:szCs w:val="20"/>
          <w:lang w:val="en"/>
        </w:rPr>
        <w:t>For more information please visit the MDPH – Community Sanitation Program website</w:t>
      </w:r>
      <w:r>
        <w:rPr>
          <w:rFonts w:ascii="Tahoma" w:hAnsi="Tahoma" w:cs="Tahoma"/>
          <w:color w:val="993300"/>
          <w:sz w:val="20"/>
          <w:szCs w:val="20"/>
          <w:lang w:val="en"/>
        </w:rPr>
        <w:t xml:space="preserve"> </w:t>
      </w:r>
      <w:r>
        <w:rPr>
          <w:rFonts w:ascii="Tahoma" w:hAnsi="Tahoma" w:cs="Tahoma"/>
          <w:b/>
          <w:color w:val="000000"/>
          <w:sz w:val="20"/>
          <w:szCs w:val="20"/>
        </w:rPr>
        <w:t xml:space="preserve">www.mass.gov/dph/dcs </w:t>
      </w:r>
      <w:r>
        <w:rPr>
          <w:rFonts w:ascii="Tahoma" w:hAnsi="Tahoma" w:cs="Tahoma"/>
          <w:sz w:val="20"/>
          <w:szCs w:val="20"/>
          <w:lang w:val="en"/>
        </w:rPr>
        <w:t xml:space="preserve">or contact the Massachusetts Department of Public Health, Bureau of Environmental Health at </w:t>
      </w:r>
      <w:r>
        <w:rPr>
          <w:rFonts w:ascii="Tahoma" w:hAnsi="Tahoma" w:cs="Tahoma"/>
          <w:b/>
          <w:sz w:val="20"/>
          <w:szCs w:val="20"/>
          <w:lang w:val="en"/>
        </w:rPr>
        <w:t>617-624-5757</w:t>
      </w:r>
      <w:r>
        <w:rPr>
          <w:rFonts w:ascii="Tahoma" w:hAnsi="Tahoma" w:cs="Tahoma"/>
          <w:sz w:val="20"/>
          <w:szCs w:val="20"/>
          <w:lang w:val="en"/>
        </w:rPr>
        <w:t>.</w:t>
      </w:r>
      <w:r>
        <w:rPr>
          <w:rFonts w:ascii="Tahoma" w:hAnsi="Tahoma" w:cs="Tahoma"/>
          <w:b/>
          <w:bCs/>
          <w:lang w:val="en"/>
        </w:rPr>
        <w:t xml:space="preserve"> </w:t>
      </w:r>
    </w:p>
    <w:sectPr w:rsidR="005D66E0">
      <w:pgSz w:w="12240" w:h="15840" w:code="1"/>
      <w:pgMar w:top="648" w:right="576" w:bottom="29" w:left="432" w:header="576" w:footer="432" w:gutter="0"/>
      <w:pgBorders w:offsetFrom="page">
        <w:top w:val="single" w:sz="12" w:space="24" w:color="000080"/>
        <w:left w:val="single" w:sz="12" w:space="24" w:color="000080"/>
        <w:bottom w:val="single" w:sz="12" w:space="24" w:color="000080"/>
        <w:right w:val="single" w:sz="12" w:space="24" w:color="000080"/>
      </w:pgBorders>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358" w:rsidRDefault="009C4358">
      <w:r>
        <w:separator/>
      </w:r>
    </w:p>
  </w:endnote>
  <w:endnote w:type="continuationSeparator" w:id="0">
    <w:p w:rsidR="009C4358" w:rsidRDefault="009C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hornda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358" w:rsidRDefault="009C4358">
      <w:r>
        <w:separator/>
      </w:r>
    </w:p>
  </w:footnote>
  <w:footnote w:type="continuationSeparator" w:id="0">
    <w:p w:rsidR="009C4358" w:rsidRDefault="009C4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7F7E"/>
    <w:multiLevelType w:val="hybridMultilevel"/>
    <w:tmpl w:val="D23E262C"/>
    <w:lvl w:ilvl="0" w:tplc="134CAFE4">
      <w:start w:val="1"/>
      <w:numFmt w:val="bullet"/>
      <w:lvlText w:val="●"/>
      <w:lvlJc w:val="left"/>
      <w:pPr>
        <w:tabs>
          <w:tab w:val="num" w:pos="720"/>
        </w:tabs>
        <w:ind w:left="720" w:hanging="360"/>
      </w:pPr>
      <w:rPr>
        <w:rFonts w:ascii="Arial" w:hAnsi="Aria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C1E9A"/>
    <w:multiLevelType w:val="multilevel"/>
    <w:tmpl w:val="B5E6D134"/>
    <w:lvl w:ilvl="0">
      <w:start w:val="1"/>
      <w:numFmt w:val="bullet"/>
      <w:lvlText w:val=""/>
      <w:lvlJc w:val="left"/>
      <w:pPr>
        <w:tabs>
          <w:tab w:val="num" w:pos="360"/>
        </w:tabs>
        <w:ind w:left="720" w:hanging="36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E5A8C"/>
    <w:multiLevelType w:val="multilevel"/>
    <w:tmpl w:val="B5E6D134"/>
    <w:lvl w:ilvl="0">
      <w:start w:val="1"/>
      <w:numFmt w:val="bullet"/>
      <w:lvlText w:val=""/>
      <w:lvlJc w:val="left"/>
      <w:pPr>
        <w:tabs>
          <w:tab w:val="num" w:pos="360"/>
        </w:tabs>
        <w:ind w:left="720" w:hanging="36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03A77"/>
    <w:multiLevelType w:val="multilevel"/>
    <w:tmpl w:val="30E8AD5E"/>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82FBD"/>
    <w:multiLevelType w:val="hybridMultilevel"/>
    <w:tmpl w:val="42CA9D9E"/>
    <w:lvl w:ilvl="0" w:tplc="9934E580">
      <w:start w:val="1"/>
      <w:numFmt w:val="bullet"/>
      <w:lvlText w:val=""/>
      <w:lvlJc w:val="left"/>
      <w:pPr>
        <w:tabs>
          <w:tab w:val="num" w:pos="360"/>
        </w:tabs>
        <w:ind w:left="720" w:hanging="360"/>
      </w:pPr>
      <w:rPr>
        <w:rFonts w:ascii="Symbol" w:hAnsi="Symbol" w:hint="default"/>
        <w:color w:val="0000FF"/>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46CA6"/>
    <w:multiLevelType w:val="multilevel"/>
    <w:tmpl w:val="B700F734"/>
    <w:lvl w:ilvl="0">
      <w:start w:val="1"/>
      <w:numFmt w:val="bullet"/>
      <w:lvlText w:val="●"/>
      <w:lvlJc w:val="left"/>
      <w:pPr>
        <w:tabs>
          <w:tab w:val="num" w:pos="720"/>
        </w:tabs>
        <w:ind w:left="720" w:hanging="360"/>
      </w:pPr>
      <w:rPr>
        <w:rFonts w:ascii="Arial" w:hAnsi="Arial" w:hint="default"/>
        <w:color w:val="FF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E4B1E"/>
    <w:multiLevelType w:val="multilevel"/>
    <w:tmpl w:val="B35089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A5161"/>
    <w:multiLevelType w:val="hybridMultilevel"/>
    <w:tmpl w:val="81DA2CB8"/>
    <w:lvl w:ilvl="0" w:tplc="56AA2C9E">
      <w:start w:val="1"/>
      <w:numFmt w:val="bullet"/>
      <w:lvlText w:val=""/>
      <w:lvlJc w:val="left"/>
      <w:pPr>
        <w:tabs>
          <w:tab w:val="num" w:pos="432"/>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B1BB6"/>
    <w:multiLevelType w:val="hybridMultilevel"/>
    <w:tmpl w:val="8AB26390"/>
    <w:lvl w:ilvl="0" w:tplc="B4DABA04">
      <w:start w:val="1"/>
      <w:numFmt w:val="bullet"/>
      <w:lvlText w:val="●"/>
      <w:lvlJc w:val="left"/>
      <w:pPr>
        <w:tabs>
          <w:tab w:val="num" w:pos="720"/>
        </w:tabs>
        <w:ind w:left="720" w:hanging="360"/>
      </w:pPr>
      <w:rPr>
        <w:rFonts w:ascii="Arial" w:hAnsi="Aria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362847"/>
    <w:multiLevelType w:val="multilevel"/>
    <w:tmpl w:val="2E5E391A"/>
    <w:lvl w:ilvl="0">
      <w:start w:val="1"/>
      <w:numFmt w:val="bullet"/>
      <w:lvlText w:val=""/>
      <w:lvlJc w:val="left"/>
      <w:pPr>
        <w:tabs>
          <w:tab w:val="num" w:pos="36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168FE"/>
    <w:multiLevelType w:val="hybridMultilevel"/>
    <w:tmpl w:val="40B8239A"/>
    <w:lvl w:ilvl="0" w:tplc="09EC144A">
      <w:start w:val="1"/>
      <w:numFmt w:val="bullet"/>
      <w:lvlText w:val=""/>
      <w:lvlJc w:val="left"/>
      <w:pPr>
        <w:tabs>
          <w:tab w:val="num" w:pos="360"/>
        </w:tabs>
        <w:ind w:left="720" w:hanging="360"/>
      </w:pPr>
      <w:rPr>
        <w:rFonts w:ascii="Symbol" w:hAnsi="Symbol" w:hint="default"/>
        <w:color w:val="0000FF"/>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B44B8"/>
    <w:multiLevelType w:val="multilevel"/>
    <w:tmpl w:val="8AB26390"/>
    <w:lvl w:ilvl="0">
      <w:start w:val="1"/>
      <w:numFmt w:val="bullet"/>
      <w:lvlText w:val="●"/>
      <w:lvlJc w:val="left"/>
      <w:pPr>
        <w:tabs>
          <w:tab w:val="num" w:pos="720"/>
        </w:tabs>
        <w:ind w:left="720" w:hanging="360"/>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668EC"/>
    <w:multiLevelType w:val="hybridMultilevel"/>
    <w:tmpl w:val="F580BFE0"/>
    <w:lvl w:ilvl="0" w:tplc="B27A8496">
      <w:start w:val="1"/>
      <w:numFmt w:val="bullet"/>
      <w:lvlText w:val=""/>
      <w:lvlJc w:val="left"/>
      <w:pPr>
        <w:tabs>
          <w:tab w:val="num" w:pos="36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B1B2F"/>
    <w:multiLevelType w:val="hybridMultilevel"/>
    <w:tmpl w:val="B3508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46A0E"/>
    <w:multiLevelType w:val="multilevel"/>
    <w:tmpl w:val="F580BFE0"/>
    <w:lvl w:ilvl="0">
      <w:start w:val="1"/>
      <w:numFmt w:val="bullet"/>
      <w:lvlText w:val=""/>
      <w:lvlJc w:val="left"/>
      <w:pPr>
        <w:tabs>
          <w:tab w:val="num" w:pos="360"/>
        </w:tabs>
        <w:ind w:left="72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757EC"/>
    <w:multiLevelType w:val="multilevel"/>
    <w:tmpl w:val="D23E262C"/>
    <w:lvl w:ilvl="0">
      <w:start w:val="1"/>
      <w:numFmt w:val="bullet"/>
      <w:lvlText w:val="●"/>
      <w:lvlJc w:val="left"/>
      <w:pPr>
        <w:tabs>
          <w:tab w:val="num" w:pos="720"/>
        </w:tabs>
        <w:ind w:left="720" w:hanging="360"/>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D40747"/>
    <w:multiLevelType w:val="hybridMultilevel"/>
    <w:tmpl w:val="B700F734"/>
    <w:lvl w:ilvl="0" w:tplc="2BA0E55A">
      <w:start w:val="1"/>
      <w:numFmt w:val="bullet"/>
      <w:lvlText w:val="●"/>
      <w:lvlJc w:val="left"/>
      <w:pPr>
        <w:tabs>
          <w:tab w:val="num" w:pos="720"/>
        </w:tabs>
        <w:ind w:left="720" w:hanging="360"/>
      </w:pPr>
      <w:rPr>
        <w:rFonts w:ascii="Arial" w:hAnsi="Arial" w:hint="default"/>
        <w:color w:val="FF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91A44"/>
    <w:multiLevelType w:val="hybridMultilevel"/>
    <w:tmpl w:val="D3200576"/>
    <w:lvl w:ilvl="0" w:tplc="77E2B5C0">
      <w:start w:val="1"/>
      <w:numFmt w:val="bullet"/>
      <w:lvlText w:val=""/>
      <w:lvlJc w:val="left"/>
      <w:pPr>
        <w:tabs>
          <w:tab w:val="num" w:pos="360"/>
        </w:tabs>
        <w:ind w:left="720" w:hanging="360"/>
      </w:pPr>
      <w:rPr>
        <w:rFonts w:ascii="Symbol" w:hAnsi="Symbol" w:hint="default"/>
        <w:color w:val="0000FF"/>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52FEA"/>
    <w:multiLevelType w:val="multilevel"/>
    <w:tmpl w:val="FCE8016E"/>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9546F1"/>
    <w:multiLevelType w:val="hybridMultilevel"/>
    <w:tmpl w:val="9B582024"/>
    <w:lvl w:ilvl="0" w:tplc="2668BBEA">
      <w:start w:val="1"/>
      <w:numFmt w:val="bullet"/>
      <w:lvlText w:val=""/>
      <w:lvlJc w:val="left"/>
      <w:pPr>
        <w:tabs>
          <w:tab w:val="num" w:pos="360"/>
        </w:tabs>
        <w:ind w:left="720" w:hanging="360"/>
      </w:pPr>
      <w:rPr>
        <w:rFonts w:ascii="Symbol" w:hAnsi="Symbol" w:hint="default"/>
        <w:color w:val="0000FF"/>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14107"/>
    <w:multiLevelType w:val="multilevel"/>
    <w:tmpl w:val="18E0C3FE"/>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D7D37"/>
    <w:multiLevelType w:val="hybridMultilevel"/>
    <w:tmpl w:val="18E0C3FE"/>
    <w:lvl w:ilvl="0" w:tplc="1E6EA544">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74CA9"/>
    <w:multiLevelType w:val="multilevel"/>
    <w:tmpl w:val="B5E6D134"/>
    <w:lvl w:ilvl="0">
      <w:start w:val="1"/>
      <w:numFmt w:val="bullet"/>
      <w:lvlText w:val=""/>
      <w:lvlJc w:val="left"/>
      <w:pPr>
        <w:tabs>
          <w:tab w:val="num" w:pos="360"/>
        </w:tabs>
        <w:ind w:left="720" w:hanging="36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30A57"/>
    <w:multiLevelType w:val="multilevel"/>
    <w:tmpl w:val="B5E6D134"/>
    <w:lvl w:ilvl="0">
      <w:start w:val="1"/>
      <w:numFmt w:val="bullet"/>
      <w:lvlText w:val=""/>
      <w:lvlJc w:val="left"/>
      <w:pPr>
        <w:tabs>
          <w:tab w:val="num" w:pos="360"/>
        </w:tabs>
        <w:ind w:left="720" w:hanging="36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4927FE"/>
    <w:multiLevelType w:val="hybridMultilevel"/>
    <w:tmpl w:val="03CE6E74"/>
    <w:lvl w:ilvl="0" w:tplc="2BA0E55A">
      <w:start w:val="1"/>
      <w:numFmt w:val="bullet"/>
      <w:lvlText w:val="●"/>
      <w:lvlJc w:val="left"/>
      <w:pPr>
        <w:tabs>
          <w:tab w:val="num" w:pos="720"/>
        </w:tabs>
        <w:ind w:left="720" w:hanging="360"/>
      </w:pPr>
      <w:rPr>
        <w:rFonts w:ascii="Arial" w:hAnsi="Arial" w:hint="default"/>
        <w:color w:val="FF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E5161F"/>
    <w:multiLevelType w:val="multilevel"/>
    <w:tmpl w:val="B35089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137AD"/>
    <w:multiLevelType w:val="multilevel"/>
    <w:tmpl w:val="AC5E1D44"/>
    <w:lvl w:ilvl="0">
      <w:start w:val="1"/>
      <w:numFmt w:val="bullet"/>
      <w:lvlText w:val=""/>
      <w:lvlJc w:val="left"/>
      <w:pPr>
        <w:tabs>
          <w:tab w:val="num" w:pos="720"/>
        </w:tabs>
        <w:ind w:left="720" w:hanging="360"/>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3B3DDA"/>
    <w:multiLevelType w:val="hybridMultilevel"/>
    <w:tmpl w:val="2E5E391A"/>
    <w:lvl w:ilvl="0" w:tplc="F4B42324">
      <w:start w:val="1"/>
      <w:numFmt w:val="bullet"/>
      <w:lvlText w:val=""/>
      <w:lvlJc w:val="left"/>
      <w:pPr>
        <w:tabs>
          <w:tab w:val="num" w:pos="36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081078"/>
    <w:multiLevelType w:val="hybridMultilevel"/>
    <w:tmpl w:val="FCE8016E"/>
    <w:lvl w:ilvl="0" w:tplc="4EB0259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1F3AC6"/>
    <w:multiLevelType w:val="multilevel"/>
    <w:tmpl w:val="81DA2CB8"/>
    <w:lvl w:ilvl="0">
      <w:start w:val="1"/>
      <w:numFmt w:val="bullet"/>
      <w:lvlText w:val=""/>
      <w:lvlJc w:val="left"/>
      <w:pPr>
        <w:tabs>
          <w:tab w:val="num" w:pos="432"/>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B42EA"/>
    <w:multiLevelType w:val="hybridMultilevel"/>
    <w:tmpl w:val="AC828A1A"/>
    <w:lvl w:ilvl="0" w:tplc="EA3A6B2C">
      <w:start w:val="1"/>
      <w:numFmt w:val="bullet"/>
      <w:lvlText w:val=""/>
      <w:lvlJc w:val="left"/>
      <w:pPr>
        <w:tabs>
          <w:tab w:val="num" w:pos="360"/>
        </w:tabs>
        <w:ind w:left="720" w:hanging="360"/>
      </w:pPr>
      <w:rPr>
        <w:rFonts w:ascii="Symbol" w:hAnsi="Symbol" w:hint="default"/>
        <w:color w:val="0000FF"/>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7C5BB9"/>
    <w:multiLevelType w:val="hybridMultilevel"/>
    <w:tmpl w:val="30E8AD5E"/>
    <w:lvl w:ilvl="0" w:tplc="59BCE91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340B5B"/>
    <w:multiLevelType w:val="hybridMultilevel"/>
    <w:tmpl w:val="B5E6D134"/>
    <w:lvl w:ilvl="0" w:tplc="96BC3E88">
      <w:start w:val="1"/>
      <w:numFmt w:val="bullet"/>
      <w:lvlText w:val=""/>
      <w:lvlJc w:val="left"/>
      <w:pPr>
        <w:tabs>
          <w:tab w:val="num" w:pos="36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0F195E"/>
    <w:multiLevelType w:val="hybridMultilevel"/>
    <w:tmpl w:val="AC5E1D44"/>
    <w:lvl w:ilvl="0" w:tplc="CF800386">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DD4829"/>
    <w:multiLevelType w:val="multilevel"/>
    <w:tmpl w:val="B5E6D134"/>
    <w:lvl w:ilvl="0">
      <w:start w:val="1"/>
      <w:numFmt w:val="bullet"/>
      <w:lvlText w:val=""/>
      <w:lvlJc w:val="left"/>
      <w:pPr>
        <w:tabs>
          <w:tab w:val="num" w:pos="360"/>
        </w:tabs>
        <w:ind w:left="720" w:hanging="36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7"/>
  </w:num>
  <w:num w:numId="4">
    <w:abstractNumId w:val="29"/>
  </w:num>
  <w:num w:numId="5">
    <w:abstractNumId w:val="31"/>
  </w:num>
  <w:num w:numId="6">
    <w:abstractNumId w:val="3"/>
  </w:num>
  <w:num w:numId="7">
    <w:abstractNumId w:val="12"/>
  </w:num>
  <w:num w:numId="8">
    <w:abstractNumId w:val="25"/>
  </w:num>
  <w:num w:numId="9">
    <w:abstractNumId w:val="28"/>
  </w:num>
  <w:num w:numId="10">
    <w:abstractNumId w:val="14"/>
  </w:num>
  <w:num w:numId="11">
    <w:abstractNumId w:val="21"/>
  </w:num>
  <w:num w:numId="12">
    <w:abstractNumId w:val="20"/>
  </w:num>
  <w:num w:numId="13">
    <w:abstractNumId w:val="33"/>
  </w:num>
  <w:num w:numId="14">
    <w:abstractNumId w:val="26"/>
  </w:num>
  <w:num w:numId="15">
    <w:abstractNumId w:val="8"/>
  </w:num>
  <w:num w:numId="16">
    <w:abstractNumId w:val="11"/>
  </w:num>
  <w:num w:numId="17">
    <w:abstractNumId w:val="0"/>
  </w:num>
  <w:num w:numId="18">
    <w:abstractNumId w:val="15"/>
  </w:num>
  <w:num w:numId="19">
    <w:abstractNumId w:val="16"/>
  </w:num>
  <w:num w:numId="20">
    <w:abstractNumId w:val="18"/>
  </w:num>
  <w:num w:numId="21">
    <w:abstractNumId w:val="27"/>
  </w:num>
  <w:num w:numId="22">
    <w:abstractNumId w:val="9"/>
  </w:num>
  <w:num w:numId="23">
    <w:abstractNumId w:val="32"/>
  </w:num>
  <w:num w:numId="24">
    <w:abstractNumId w:val="5"/>
  </w:num>
  <w:num w:numId="25">
    <w:abstractNumId w:val="24"/>
  </w:num>
  <w:num w:numId="26">
    <w:abstractNumId w:val="34"/>
  </w:num>
  <w:num w:numId="27">
    <w:abstractNumId w:val="4"/>
  </w:num>
  <w:num w:numId="28">
    <w:abstractNumId w:val="22"/>
  </w:num>
  <w:num w:numId="29">
    <w:abstractNumId w:val="10"/>
  </w:num>
  <w:num w:numId="30">
    <w:abstractNumId w:val="1"/>
  </w:num>
  <w:num w:numId="31">
    <w:abstractNumId w:val="17"/>
  </w:num>
  <w:num w:numId="32">
    <w:abstractNumId w:val="2"/>
  </w:num>
  <w:num w:numId="33">
    <w:abstractNumId w:val="30"/>
  </w:num>
  <w:num w:numId="34">
    <w:abstractNumId w:val="2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D3"/>
    <w:rsid w:val="00085CAB"/>
    <w:rsid w:val="000A3824"/>
    <w:rsid w:val="000B1DA2"/>
    <w:rsid w:val="001C6246"/>
    <w:rsid w:val="002543EF"/>
    <w:rsid w:val="004C2AAD"/>
    <w:rsid w:val="005D66E0"/>
    <w:rsid w:val="00602C3F"/>
    <w:rsid w:val="006D7CC7"/>
    <w:rsid w:val="007A71FC"/>
    <w:rsid w:val="009C4358"/>
    <w:rsid w:val="009F3E2E"/>
    <w:rsid w:val="00AD66DE"/>
    <w:rsid w:val="00B56FD3"/>
    <w:rsid w:val="00B67935"/>
    <w:rsid w:val="00C53611"/>
    <w:rsid w:val="00CF3153"/>
    <w:rsid w:val="00D85F94"/>
    <w:rsid w:val="00E24241"/>
    <w:rsid w:val="00E4182A"/>
    <w:rsid w:val="00E4648B"/>
    <w:rsid w:val="00F4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807968">
      <w:marLeft w:val="0"/>
      <w:marRight w:val="0"/>
      <w:marTop w:val="0"/>
      <w:marBottom w:val="0"/>
      <w:divBdr>
        <w:top w:val="none" w:sz="0" w:space="0" w:color="auto"/>
        <w:left w:val="none" w:sz="0" w:space="0" w:color="auto"/>
        <w:bottom w:val="none" w:sz="0" w:space="0" w:color="auto"/>
        <w:right w:val="none" w:sz="0" w:space="0" w:color="auto"/>
      </w:divBdr>
    </w:div>
    <w:div w:id="785807969">
      <w:marLeft w:val="0"/>
      <w:marRight w:val="0"/>
      <w:marTop w:val="0"/>
      <w:marBottom w:val="0"/>
      <w:divBdr>
        <w:top w:val="none" w:sz="0" w:space="0" w:color="auto"/>
        <w:left w:val="none" w:sz="0" w:space="0" w:color="auto"/>
        <w:bottom w:val="none" w:sz="0" w:space="0" w:color="auto"/>
        <w:right w:val="none" w:sz="0" w:space="0" w:color="auto"/>
      </w:divBdr>
    </w:div>
    <w:div w:id="785807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2008-11-03T15:58:00Z</cp:lastPrinted>
  <dcterms:created xsi:type="dcterms:W3CDTF">2019-07-03T15:15:00Z</dcterms:created>
  <dcterms:modified xsi:type="dcterms:W3CDTF">2019-07-03T15:15:00Z</dcterms:modified>
</cp:coreProperties>
</file>